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7B13" w14:textId="5B0353B3" w:rsidR="00F506D2" w:rsidRPr="00FA548E" w:rsidRDefault="00F506D2" w:rsidP="00F73E19">
      <w:pPr>
        <w:rPr>
          <w:b/>
          <w:color w:val="1F497D" w:themeColor="text2"/>
          <w:sz w:val="36"/>
        </w:rPr>
      </w:pPr>
      <w:r w:rsidRPr="00FA548E">
        <w:rPr>
          <w:b/>
          <w:color w:val="1F497D" w:themeColor="text2"/>
          <w:sz w:val="36"/>
        </w:rPr>
        <w:t xml:space="preserve">Årsrapport </w:t>
      </w:r>
      <w:r w:rsidR="007A3666" w:rsidRPr="00FA548E">
        <w:rPr>
          <w:b/>
          <w:color w:val="1F497D" w:themeColor="text2"/>
          <w:sz w:val="36"/>
        </w:rPr>
        <w:t>202</w:t>
      </w:r>
      <w:r w:rsidR="005377D8">
        <w:rPr>
          <w:b/>
          <w:color w:val="1F497D" w:themeColor="text2"/>
          <w:sz w:val="36"/>
        </w:rPr>
        <w:t>2</w:t>
      </w:r>
      <w:r w:rsidRPr="00FA548E">
        <w:rPr>
          <w:b/>
          <w:color w:val="1F497D" w:themeColor="text2"/>
          <w:sz w:val="36"/>
        </w:rPr>
        <w:t xml:space="preserve"> for </w:t>
      </w:r>
      <w:r w:rsidR="00030A1B" w:rsidRPr="00FA548E">
        <w:rPr>
          <w:b/>
          <w:color w:val="1F497D" w:themeColor="text2"/>
          <w:sz w:val="36"/>
        </w:rPr>
        <w:t>Institut for Syn, Hørelse og Døvblindhed</w:t>
      </w:r>
    </w:p>
    <w:p w14:paraId="44398269" w14:textId="77777777" w:rsidR="00F506D2" w:rsidRPr="00FA548E" w:rsidRDefault="00F506D2" w:rsidP="00F506D2">
      <w:pPr>
        <w:pStyle w:val="DagsordenReferat-Opstilling"/>
        <w:numPr>
          <w:ilvl w:val="0"/>
          <w:numId w:val="0"/>
        </w:numPr>
        <w:ind w:left="340"/>
      </w:pPr>
    </w:p>
    <w:p w14:paraId="7E333318" w14:textId="77777777" w:rsidR="00F064C8" w:rsidRPr="00D73442" w:rsidRDefault="00F064C8" w:rsidP="00F064C8">
      <w:pPr>
        <w:pStyle w:val="Overskrift2"/>
        <w:spacing w:before="0" w:after="120"/>
        <w:rPr>
          <w:sz w:val="22"/>
        </w:rPr>
      </w:pPr>
      <w:r w:rsidRPr="00D73442">
        <w:rPr>
          <w:sz w:val="22"/>
        </w:rPr>
        <w:t xml:space="preserve">Institut for Syn, Hørelse og Døvblindhed – kort fortalt </w:t>
      </w:r>
    </w:p>
    <w:p w14:paraId="0D3C228C" w14:textId="0711F13B" w:rsidR="00F064C8" w:rsidRDefault="00F064C8" w:rsidP="00F064C8">
      <w:pPr>
        <w:autoSpaceDE w:val="0"/>
        <w:autoSpaceDN w:val="0"/>
        <w:adjustRightInd w:val="0"/>
        <w:spacing w:after="0"/>
        <w:rPr>
          <w:rFonts w:ascii="Arial" w:hAnsi="Arial" w:cs="Arial"/>
          <w:color w:val="000000"/>
          <w:lang w:bidi="ar-SA"/>
        </w:rPr>
      </w:pPr>
      <w:r w:rsidRPr="00D73442">
        <w:rPr>
          <w:rFonts w:ascii="Arial" w:hAnsi="Arial" w:cs="Arial"/>
          <w:color w:val="000000"/>
          <w:lang w:bidi="ar-SA"/>
        </w:rPr>
        <w:t xml:space="preserve">Institut for Syn, Hørelse og Døvblindhed (ISHD) tilbyder rådgivning, vejledning og undervisning til hørehæmmede børn og voksne, blinde og svagsynede børn og voksne, døvblinde børn og voksne, samt børn og voksne med </w:t>
      </w:r>
      <w:r>
        <w:rPr>
          <w:rFonts w:ascii="Arial" w:hAnsi="Arial" w:cs="Arial"/>
          <w:color w:val="000000"/>
          <w:lang w:bidi="ar-SA"/>
        </w:rPr>
        <w:t>andre</w:t>
      </w:r>
      <w:r w:rsidRPr="00D73442">
        <w:rPr>
          <w:rFonts w:ascii="Arial" w:hAnsi="Arial" w:cs="Arial"/>
          <w:color w:val="000000"/>
          <w:lang w:bidi="ar-SA"/>
        </w:rPr>
        <w:t xml:space="preserve"> kommunikations</w:t>
      </w:r>
      <w:r>
        <w:rPr>
          <w:rFonts w:ascii="Arial" w:hAnsi="Arial" w:cs="Arial"/>
          <w:color w:val="000000"/>
          <w:lang w:bidi="ar-SA"/>
        </w:rPr>
        <w:t>problemer</w:t>
      </w:r>
      <w:r w:rsidRPr="00D73442">
        <w:rPr>
          <w:rFonts w:ascii="Arial" w:hAnsi="Arial" w:cs="Arial"/>
          <w:color w:val="000000"/>
          <w:lang w:bidi="ar-SA"/>
        </w:rPr>
        <w:t xml:space="preserve"> på grund af nedsat tale-, læse- eller skrivefunktion</w:t>
      </w:r>
      <w:r>
        <w:rPr>
          <w:rFonts w:ascii="Arial" w:hAnsi="Arial" w:cs="Arial"/>
          <w:color w:val="000000"/>
          <w:lang w:bidi="ar-SA"/>
        </w:rPr>
        <w:t>. Ydelserne leveres med hjemmel i</w:t>
      </w:r>
      <w:r w:rsidRPr="00D73442">
        <w:rPr>
          <w:rFonts w:ascii="Arial" w:hAnsi="Arial" w:cs="Arial"/>
          <w:color w:val="000000"/>
          <w:lang w:bidi="ar-SA"/>
        </w:rPr>
        <w:t xml:space="preserve"> Lov om Social Service §5, 10, 12, 112 og 113, Lov om Folkeskolen §20 og Lov om Specialundervisning for voksne §1.</w:t>
      </w:r>
    </w:p>
    <w:p w14:paraId="27FBC6EF" w14:textId="77777777" w:rsidR="00435C73" w:rsidRDefault="00435C73" w:rsidP="008A7225">
      <w:pPr>
        <w:pStyle w:val="DagsordenReferat-Opstilling"/>
        <w:numPr>
          <w:ilvl w:val="0"/>
          <w:numId w:val="0"/>
        </w:numPr>
        <w:ind w:left="340" w:hanging="340"/>
      </w:pPr>
    </w:p>
    <w:p w14:paraId="1EED121F" w14:textId="7EE16565" w:rsidR="00040881" w:rsidRPr="00FA548E" w:rsidRDefault="00040881" w:rsidP="008A7225">
      <w:pPr>
        <w:pStyle w:val="DagsordenReferat-Opstilling"/>
        <w:numPr>
          <w:ilvl w:val="0"/>
          <w:numId w:val="0"/>
        </w:numPr>
        <w:ind w:left="340" w:hanging="340"/>
      </w:pPr>
      <w:r w:rsidRPr="00FA548E">
        <w:t>Status</w:t>
      </w:r>
    </w:p>
    <w:p w14:paraId="2A27D101" w14:textId="354CEE72" w:rsidR="00FB12AE" w:rsidRDefault="00935008" w:rsidP="00FB12AE">
      <w:r>
        <w:t>De nordjyske kommuners efterspørgsel på ydelser på ISHD har gennem årene ligget stabilt omkring en samlet belægningsprocent på 95%. Instituttets takster er baseret på en forventet udnyttelse af kapaciteten på netop 95% og den stabile efterspørgsel har været en vigtig medvirkende faktor til at kunne fastholde et højt specialiseret fagligt miljø på området.</w:t>
      </w:r>
    </w:p>
    <w:p w14:paraId="63645F68" w14:textId="01B25C7B" w:rsidR="00935008" w:rsidRDefault="00BD19F8" w:rsidP="00FB12AE">
      <w:r>
        <w:t xml:space="preserve">ISHD har </w:t>
      </w:r>
      <w:r w:rsidR="00935008">
        <w:t xml:space="preserve">I 2022 </w:t>
      </w:r>
      <w:r>
        <w:t xml:space="preserve">haft en </w:t>
      </w:r>
      <w:r w:rsidR="00935008">
        <w:t xml:space="preserve">belægningsprocent på 98,6%, hvilket er er et tydeligt billede på, at efterspørgslen stadig er høj. </w:t>
      </w:r>
    </w:p>
    <w:p w14:paraId="672E0939" w14:textId="2A2C547A" w:rsidR="00935008" w:rsidRPr="0012777B" w:rsidRDefault="00935008" w:rsidP="00FB12AE">
      <w:r>
        <w:t>Der er løbende opmærksomhed på, om der er behov for at justere og allokere tilbuddets ressourcer i forhold til udsving i aktiviteten på de enkelte ydelser.</w:t>
      </w:r>
    </w:p>
    <w:p w14:paraId="0E70B372" w14:textId="5CA122D1" w:rsidR="00F506D2" w:rsidRDefault="00F506D2" w:rsidP="008A7225">
      <w:pPr>
        <w:pStyle w:val="DagsordenReferat-Opstilling"/>
        <w:numPr>
          <w:ilvl w:val="0"/>
          <w:numId w:val="0"/>
        </w:numPr>
        <w:ind w:left="340" w:hanging="340"/>
      </w:pPr>
      <w:r w:rsidRPr="00FA548E">
        <w:t>Økonomi</w:t>
      </w:r>
    </w:p>
    <w:tbl>
      <w:tblPr>
        <w:tblStyle w:val="Gittertabel5-mrk-farve2"/>
        <w:tblW w:w="0" w:type="auto"/>
        <w:tblLook w:val="04A0" w:firstRow="1" w:lastRow="0" w:firstColumn="1" w:lastColumn="0" w:noHBand="0" w:noVBand="1"/>
      </w:tblPr>
      <w:tblGrid>
        <w:gridCol w:w="3085"/>
        <w:gridCol w:w="2042"/>
        <w:gridCol w:w="2042"/>
        <w:gridCol w:w="2042"/>
      </w:tblGrid>
      <w:tr w:rsidR="00FA548E" w14:paraId="72D4761D" w14:textId="77777777" w:rsidTr="00FA5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FFFFFF" w:themeColor="background1"/>
            </w:tcBorders>
            <w:hideMark/>
          </w:tcPr>
          <w:p w14:paraId="7B07B263" w14:textId="77777777" w:rsidR="00FA548E" w:rsidRPr="00FA548E" w:rsidRDefault="00FA548E">
            <w:pPr>
              <w:spacing w:after="255"/>
              <w:contextualSpacing/>
              <w:rPr>
                <w:sz w:val="16"/>
              </w:rPr>
            </w:pPr>
            <w:r w:rsidRPr="00FA548E">
              <w:rPr>
                <w:sz w:val="16"/>
              </w:rPr>
              <w:t>1A Generel rådgivning og information – Høreområdet 18+ år</w:t>
            </w:r>
          </w:p>
        </w:tc>
        <w:tc>
          <w:tcPr>
            <w:tcW w:w="2042" w:type="dxa"/>
            <w:tcBorders>
              <w:bottom w:val="single" w:sz="4" w:space="0" w:color="FFFFFF" w:themeColor="background1"/>
            </w:tcBorders>
            <w:hideMark/>
          </w:tcPr>
          <w:p w14:paraId="71538363" w14:textId="5BA61DF7" w:rsidR="00FA548E" w:rsidRDefault="00FA548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w:t>
            </w:r>
            <w:r w:rsidR="00FB12AE">
              <w:rPr>
                <w:sz w:val="16"/>
                <w:lang w:val="en-US"/>
              </w:rPr>
              <w:t>1</w:t>
            </w:r>
          </w:p>
        </w:tc>
        <w:tc>
          <w:tcPr>
            <w:tcW w:w="2042" w:type="dxa"/>
            <w:tcBorders>
              <w:bottom w:val="single" w:sz="4" w:space="0" w:color="FFFFFF" w:themeColor="background1"/>
            </w:tcBorders>
            <w:hideMark/>
          </w:tcPr>
          <w:p w14:paraId="2BE45DE2" w14:textId="21B26062" w:rsidR="00FA548E" w:rsidRDefault="00FA548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w:t>
            </w:r>
            <w:r w:rsidR="00FB12AE">
              <w:rPr>
                <w:sz w:val="16"/>
                <w:lang w:val="en-US"/>
              </w:rPr>
              <w:t>2</w:t>
            </w:r>
          </w:p>
        </w:tc>
        <w:tc>
          <w:tcPr>
            <w:tcW w:w="2042" w:type="dxa"/>
            <w:tcBorders>
              <w:bottom w:val="single" w:sz="4" w:space="0" w:color="FFFFFF" w:themeColor="background1"/>
            </w:tcBorders>
            <w:hideMark/>
          </w:tcPr>
          <w:p w14:paraId="72F276BF" w14:textId="60DC0788" w:rsidR="00FA548E" w:rsidRDefault="00FA548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w:t>
            </w:r>
            <w:r w:rsidR="00FB12AE">
              <w:rPr>
                <w:sz w:val="16"/>
                <w:lang w:val="en-US"/>
              </w:rPr>
              <w:t>3</w:t>
            </w:r>
          </w:p>
          <w:p w14:paraId="5AC280CF" w14:textId="77777777" w:rsidR="00FA548E" w:rsidRDefault="00FA548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w:t>
            </w:r>
            <w:proofErr w:type="spellStart"/>
            <w:r>
              <w:rPr>
                <w:sz w:val="16"/>
                <w:lang w:val="en-US"/>
              </w:rPr>
              <w:t>forventet</w:t>
            </w:r>
            <w:proofErr w:type="spellEnd"/>
            <w:r>
              <w:rPr>
                <w:sz w:val="16"/>
                <w:lang w:val="en-US"/>
              </w:rPr>
              <w:t>)</w:t>
            </w:r>
          </w:p>
        </w:tc>
      </w:tr>
      <w:tr w:rsidR="00FA548E" w:rsidRPr="002825BB" w14:paraId="663068DA" w14:textId="77777777" w:rsidTr="00877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right w:val="single" w:sz="4" w:space="0" w:color="FFFFFF" w:themeColor="background1"/>
            </w:tcBorders>
            <w:hideMark/>
          </w:tcPr>
          <w:p w14:paraId="5BC42C79" w14:textId="77777777" w:rsidR="00FA548E" w:rsidRPr="002825BB" w:rsidRDefault="00FA548E">
            <w:pPr>
              <w:spacing w:after="255"/>
              <w:contextualSpacing/>
              <w:rPr>
                <w:sz w:val="16"/>
                <w:lang w:val="en-US"/>
              </w:rPr>
            </w:pPr>
            <w:proofErr w:type="spellStart"/>
            <w:r w:rsidRPr="002825BB">
              <w:rPr>
                <w:sz w:val="16"/>
                <w:lang w:val="en-US"/>
              </w:rPr>
              <w:t>Betalende</w:t>
            </w:r>
            <w:proofErr w:type="spellEnd"/>
            <w:r w:rsidRPr="002825BB">
              <w:rPr>
                <w:sz w:val="16"/>
                <w:lang w:val="en-US"/>
              </w:rPr>
              <w:t xml:space="preserve"> </w:t>
            </w:r>
            <w:proofErr w:type="spellStart"/>
            <w:r w:rsidRPr="002825BB">
              <w:rPr>
                <w:sz w:val="16"/>
                <w:lang w:val="en-US"/>
              </w:rPr>
              <w:t>kommuner</w:t>
            </w:r>
            <w:proofErr w:type="spellEnd"/>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FEAF434" w14:textId="77777777" w:rsidR="00FA548E" w:rsidRPr="002825BB" w:rsidRDefault="00FA548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2825BB">
              <w:rPr>
                <w:sz w:val="16"/>
                <w:lang w:val="en-US"/>
              </w:rPr>
              <w:t>9</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3A724FD" w14:textId="2105C9BB" w:rsidR="00FA548E" w:rsidRPr="002825BB" w:rsidRDefault="00877105">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E42DD4A" w14:textId="7618DC3A" w:rsidR="00FA548E" w:rsidRPr="002825BB" w:rsidRDefault="00877105">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w:t>
            </w:r>
          </w:p>
        </w:tc>
      </w:tr>
    </w:tbl>
    <w:p w14:paraId="2CC19354" w14:textId="6B01DA55" w:rsidR="00FA548E" w:rsidRPr="00A72BEC" w:rsidRDefault="00A72BEC" w:rsidP="00A72BEC">
      <w:pPr>
        <w:pStyle w:val="DagsordenReferat-Opstilling"/>
        <w:numPr>
          <w:ilvl w:val="0"/>
          <w:numId w:val="0"/>
        </w:numPr>
        <w:rPr>
          <w:b w:val="0"/>
          <w:bCs/>
          <w:color w:val="auto"/>
          <w:sz w:val="18"/>
        </w:rPr>
      </w:pPr>
      <w:r w:rsidRPr="002825BB">
        <w:rPr>
          <w:b w:val="0"/>
          <w:bCs/>
          <w:color w:val="auto"/>
          <w:sz w:val="18"/>
        </w:rPr>
        <w:t>Ydelse 1A på høreområdet for voksne er objektivt finansieret. Alle kommuner bortset fra Thisted og Morsø kommuner benytter sig af ydelse.</w:t>
      </w:r>
    </w:p>
    <w:tbl>
      <w:tblPr>
        <w:tblStyle w:val="Gittertabel5-mrk-farve2"/>
        <w:tblW w:w="0" w:type="auto"/>
        <w:tblLook w:val="04A0" w:firstRow="1" w:lastRow="0" w:firstColumn="1" w:lastColumn="0" w:noHBand="0" w:noVBand="1"/>
      </w:tblPr>
      <w:tblGrid>
        <w:gridCol w:w="3085"/>
        <w:gridCol w:w="2042"/>
        <w:gridCol w:w="2042"/>
        <w:gridCol w:w="2042"/>
      </w:tblGrid>
      <w:tr w:rsidR="00FB12AE" w14:paraId="5D40FAA3" w14:textId="77777777" w:rsidTr="00FA5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FFFFFF" w:themeColor="background1"/>
            </w:tcBorders>
            <w:hideMark/>
          </w:tcPr>
          <w:p w14:paraId="62D9F02F" w14:textId="77777777" w:rsidR="00FB12AE" w:rsidRPr="00FA548E" w:rsidRDefault="00FB12AE" w:rsidP="00FB12AE">
            <w:pPr>
              <w:spacing w:after="255"/>
              <w:contextualSpacing/>
              <w:rPr>
                <w:sz w:val="16"/>
              </w:rPr>
            </w:pPr>
            <w:r w:rsidRPr="00FA548E">
              <w:rPr>
                <w:sz w:val="16"/>
              </w:rPr>
              <w:t>1A Generel rådgivning og information – Syns- og ASK-området – Børn og voksne</w:t>
            </w:r>
          </w:p>
        </w:tc>
        <w:tc>
          <w:tcPr>
            <w:tcW w:w="2042" w:type="dxa"/>
            <w:tcBorders>
              <w:bottom w:val="single" w:sz="4" w:space="0" w:color="FFFFFF" w:themeColor="background1"/>
            </w:tcBorders>
            <w:hideMark/>
          </w:tcPr>
          <w:p w14:paraId="5DE02A6B" w14:textId="5E20D55F"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2021</w:t>
            </w:r>
          </w:p>
        </w:tc>
        <w:tc>
          <w:tcPr>
            <w:tcW w:w="2042" w:type="dxa"/>
            <w:tcBorders>
              <w:bottom w:val="single" w:sz="4" w:space="0" w:color="FFFFFF" w:themeColor="background1"/>
            </w:tcBorders>
            <w:hideMark/>
          </w:tcPr>
          <w:p w14:paraId="7BC8218F" w14:textId="0BCA0C04"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2022</w:t>
            </w:r>
          </w:p>
        </w:tc>
        <w:tc>
          <w:tcPr>
            <w:tcW w:w="2042" w:type="dxa"/>
            <w:tcBorders>
              <w:bottom w:val="single" w:sz="4" w:space="0" w:color="FFFFFF" w:themeColor="background1"/>
            </w:tcBorders>
            <w:hideMark/>
          </w:tcPr>
          <w:p w14:paraId="47BC7138" w14:textId="1F8EEBC7"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2023</w:t>
            </w:r>
          </w:p>
          <w:p w14:paraId="23505E5E" w14:textId="77777777"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w:t>
            </w:r>
            <w:proofErr w:type="spellStart"/>
            <w:r>
              <w:rPr>
                <w:sz w:val="16"/>
                <w:lang w:val="en-US"/>
              </w:rPr>
              <w:t>forventet</w:t>
            </w:r>
            <w:proofErr w:type="spellEnd"/>
            <w:r>
              <w:rPr>
                <w:sz w:val="16"/>
                <w:lang w:val="en-US"/>
              </w:rPr>
              <w:t>)</w:t>
            </w:r>
          </w:p>
        </w:tc>
      </w:tr>
      <w:tr w:rsidR="00FA548E" w14:paraId="73EBB760" w14:textId="77777777" w:rsidTr="00FA5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right w:val="single" w:sz="4" w:space="0" w:color="FFFFFF" w:themeColor="background1"/>
            </w:tcBorders>
            <w:hideMark/>
          </w:tcPr>
          <w:p w14:paraId="20DC2BCA" w14:textId="77777777" w:rsidR="00FA548E" w:rsidRDefault="00FA548E">
            <w:pPr>
              <w:spacing w:after="255"/>
              <w:contextualSpacing/>
              <w:rPr>
                <w:sz w:val="16"/>
                <w:lang w:val="en-US"/>
              </w:rPr>
            </w:pPr>
            <w:proofErr w:type="spellStart"/>
            <w:r>
              <w:rPr>
                <w:sz w:val="16"/>
                <w:lang w:val="en-US"/>
              </w:rPr>
              <w:t>Betalende</w:t>
            </w:r>
            <w:proofErr w:type="spellEnd"/>
            <w:r>
              <w:rPr>
                <w:sz w:val="16"/>
                <w:lang w:val="en-US"/>
              </w:rPr>
              <w:t xml:space="preserve"> </w:t>
            </w:r>
            <w:proofErr w:type="spellStart"/>
            <w:r>
              <w:rPr>
                <w:sz w:val="16"/>
                <w:lang w:val="en-US"/>
              </w:rPr>
              <w:t>kommuner</w:t>
            </w:r>
            <w:proofErr w:type="spellEnd"/>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9889F6D" w14:textId="77777777" w:rsidR="00FA548E" w:rsidRDefault="00FA548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11</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958F788" w14:textId="6A742EFA" w:rsidR="00FA548E" w:rsidRDefault="00877105">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11</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51CFB90" w14:textId="221C4BD4" w:rsidR="00FA548E" w:rsidRDefault="00877105">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11</w:t>
            </w:r>
          </w:p>
        </w:tc>
      </w:tr>
    </w:tbl>
    <w:p w14:paraId="2524DC52" w14:textId="15000A62" w:rsidR="00FA548E" w:rsidRPr="00A72BEC" w:rsidRDefault="00A72BEC" w:rsidP="00A72BEC">
      <w:pPr>
        <w:pStyle w:val="DagsordenReferat-Opstilling"/>
        <w:numPr>
          <w:ilvl w:val="0"/>
          <w:numId w:val="0"/>
        </w:numPr>
        <w:rPr>
          <w:b w:val="0"/>
          <w:bCs/>
          <w:color w:val="auto"/>
          <w:sz w:val="18"/>
        </w:rPr>
      </w:pPr>
      <w:r w:rsidRPr="002825BB">
        <w:rPr>
          <w:b w:val="0"/>
          <w:bCs/>
          <w:color w:val="auto"/>
          <w:sz w:val="18"/>
        </w:rPr>
        <w:t>Ydelse 1A på synsområdet og ASK-området for børn og voksne er objektivt finansieret. Alle nordjyske kommuner benytter sig af ydelsen.</w:t>
      </w:r>
      <w:r w:rsidRPr="00A72BEC">
        <w:rPr>
          <w:b w:val="0"/>
          <w:bCs/>
          <w:color w:val="auto"/>
          <w:sz w:val="18"/>
        </w:rPr>
        <w:t xml:space="preserve"> </w:t>
      </w:r>
    </w:p>
    <w:tbl>
      <w:tblPr>
        <w:tblStyle w:val="Gittertabel5-mrk-farve2"/>
        <w:tblW w:w="0" w:type="auto"/>
        <w:tblLook w:val="04A0" w:firstRow="1" w:lastRow="0" w:firstColumn="1" w:lastColumn="0" w:noHBand="0" w:noVBand="1"/>
      </w:tblPr>
      <w:tblGrid>
        <w:gridCol w:w="3085"/>
        <w:gridCol w:w="2042"/>
        <w:gridCol w:w="2042"/>
        <w:gridCol w:w="2042"/>
      </w:tblGrid>
      <w:tr w:rsidR="00FB12AE" w14:paraId="3EDC4D0D" w14:textId="77777777" w:rsidTr="00FA5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FFFFFF" w:themeColor="background1"/>
            </w:tcBorders>
            <w:hideMark/>
          </w:tcPr>
          <w:p w14:paraId="0A1AB5EC" w14:textId="77777777" w:rsidR="00FB12AE" w:rsidRPr="00FA548E" w:rsidRDefault="00FB12AE" w:rsidP="00FB12AE">
            <w:pPr>
              <w:spacing w:after="255"/>
              <w:contextualSpacing/>
              <w:rPr>
                <w:sz w:val="16"/>
              </w:rPr>
            </w:pPr>
            <w:r w:rsidRPr="00FA548E">
              <w:rPr>
                <w:sz w:val="16"/>
              </w:rPr>
              <w:t>2A og 2B Rådgivning, vejledning, undervisning og afprøvning – Syns- og ASK-området 0 – 18 år</w:t>
            </w:r>
          </w:p>
        </w:tc>
        <w:tc>
          <w:tcPr>
            <w:tcW w:w="2042" w:type="dxa"/>
            <w:tcBorders>
              <w:bottom w:val="single" w:sz="4" w:space="0" w:color="FFFFFF" w:themeColor="background1"/>
            </w:tcBorders>
            <w:hideMark/>
          </w:tcPr>
          <w:p w14:paraId="3DC1CBC4" w14:textId="4FD4ABBE"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2021</w:t>
            </w:r>
          </w:p>
        </w:tc>
        <w:tc>
          <w:tcPr>
            <w:tcW w:w="2042" w:type="dxa"/>
            <w:tcBorders>
              <w:bottom w:val="single" w:sz="4" w:space="0" w:color="FFFFFF" w:themeColor="background1"/>
            </w:tcBorders>
            <w:hideMark/>
          </w:tcPr>
          <w:p w14:paraId="4EB2FE69" w14:textId="60623F49"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2022</w:t>
            </w:r>
          </w:p>
        </w:tc>
        <w:tc>
          <w:tcPr>
            <w:tcW w:w="2042" w:type="dxa"/>
            <w:tcBorders>
              <w:bottom w:val="single" w:sz="4" w:space="0" w:color="FFFFFF" w:themeColor="background1"/>
            </w:tcBorders>
            <w:hideMark/>
          </w:tcPr>
          <w:p w14:paraId="43D6E4AD" w14:textId="6935898E"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2023</w:t>
            </w:r>
          </w:p>
          <w:p w14:paraId="260F9538" w14:textId="77777777"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w:t>
            </w:r>
            <w:proofErr w:type="spellStart"/>
            <w:r>
              <w:rPr>
                <w:sz w:val="16"/>
                <w:lang w:val="en-US"/>
              </w:rPr>
              <w:t>forventet</w:t>
            </w:r>
            <w:proofErr w:type="spellEnd"/>
            <w:r>
              <w:rPr>
                <w:sz w:val="16"/>
                <w:lang w:val="en-US"/>
              </w:rPr>
              <w:t>)</w:t>
            </w:r>
          </w:p>
        </w:tc>
      </w:tr>
      <w:tr w:rsidR="00FB12AE" w14:paraId="158D5829" w14:textId="77777777" w:rsidTr="00FB1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2484BF0B" w14:textId="77777777" w:rsidR="00FB12AE" w:rsidRDefault="00FB12AE" w:rsidP="00FB12AE">
            <w:pPr>
              <w:spacing w:after="255"/>
              <w:contextualSpacing/>
              <w:rPr>
                <w:sz w:val="16"/>
                <w:lang w:val="en-US"/>
              </w:rPr>
            </w:pPr>
            <w:proofErr w:type="spellStart"/>
            <w:r>
              <w:rPr>
                <w:sz w:val="16"/>
                <w:lang w:val="en-US"/>
              </w:rPr>
              <w:t>Kapacitet</w:t>
            </w:r>
            <w:proofErr w:type="spellEnd"/>
            <w:r>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3A1E23D" w14:textId="64387EB5" w:rsidR="00FB12AE" w:rsidRDefault="00FB12AE"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2.900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70FE73" w14:textId="0F62C9BE" w:rsidR="00FB12AE" w:rsidRDefault="00877105" w:rsidP="00877105">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2.900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DE55C6" w14:textId="5BE23A0A" w:rsidR="00FB12AE"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2.900</w:t>
            </w:r>
          </w:p>
        </w:tc>
      </w:tr>
      <w:tr w:rsidR="00FB12AE" w14:paraId="61BDCEA0" w14:textId="77777777" w:rsidTr="00FA548E">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6A7BDE74" w14:textId="77777777" w:rsidR="00FB12AE" w:rsidRDefault="00FB12AE" w:rsidP="00FB12AE">
            <w:pPr>
              <w:spacing w:after="255"/>
              <w:contextualSpacing/>
              <w:rPr>
                <w:sz w:val="16"/>
                <w:lang w:val="en-US"/>
              </w:rPr>
            </w:pPr>
            <w:proofErr w:type="spellStart"/>
            <w:r>
              <w:rPr>
                <w:sz w:val="16"/>
                <w:lang w:val="en-US"/>
              </w:rPr>
              <w:t>Realiseret</w:t>
            </w:r>
            <w:proofErr w:type="spellEnd"/>
            <w:r>
              <w:rPr>
                <w:sz w:val="16"/>
                <w:lang w:val="en-US"/>
              </w:rPr>
              <w:t xml:space="preserve"> </w:t>
            </w:r>
            <w:proofErr w:type="spellStart"/>
            <w:r>
              <w:rPr>
                <w:sz w:val="16"/>
                <w:lang w:val="en-US"/>
              </w:rPr>
              <w:t>aktivitet</w:t>
            </w:r>
            <w:proofErr w:type="spellEnd"/>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D1205DF" w14:textId="4FBDB35B" w:rsidR="00FB12AE"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2.161</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780DE9" w14:textId="3B643374" w:rsidR="00FB12AE" w:rsidRDefault="00877105"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2.706</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BA6B93" w14:textId="77777777" w:rsidR="00FB12AE"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p>
        </w:tc>
      </w:tr>
      <w:tr w:rsidR="00FB12AE" w14:paraId="680AA470" w14:textId="77777777" w:rsidTr="00FA5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49ACC35D" w14:textId="77777777" w:rsidR="00FB12AE" w:rsidRDefault="00FB12AE" w:rsidP="00FB12AE">
            <w:pPr>
              <w:spacing w:after="255"/>
              <w:contextualSpacing/>
              <w:rPr>
                <w:sz w:val="16"/>
                <w:lang w:val="en-US"/>
              </w:rPr>
            </w:pPr>
            <w:proofErr w:type="spellStart"/>
            <w:r>
              <w:rPr>
                <w:sz w:val="16"/>
                <w:lang w:val="en-US"/>
              </w:rPr>
              <w:t>Budgetteret</w:t>
            </w:r>
            <w:proofErr w:type="spellEnd"/>
            <w:r>
              <w:rPr>
                <w:sz w:val="16"/>
                <w:lang w:val="en-US"/>
              </w:rPr>
              <w:t xml:space="preserve"> </w:t>
            </w:r>
            <w:proofErr w:type="spellStart"/>
            <w:r>
              <w:rPr>
                <w:sz w:val="16"/>
                <w:lang w:val="en-US"/>
              </w:rPr>
              <w:t>belægning</w:t>
            </w:r>
            <w:proofErr w:type="spellEnd"/>
            <w:r>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3CFAE91" w14:textId="147828F2" w:rsidR="00FB12AE" w:rsidRDefault="00FB12AE"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6893BE" w14:textId="60C7884E" w:rsidR="00FB12AE"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3F8BA2A" w14:textId="61C5019C" w:rsidR="00FB12AE"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95,0%</w:t>
            </w:r>
          </w:p>
        </w:tc>
      </w:tr>
      <w:tr w:rsidR="00FB12AE" w14:paraId="6E44BF71" w14:textId="77777777" w:rsidTr="00FA548E">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right w:val="single" w:sz="4" w:space="0" w:color="FFFFFF" w:themeColor="background1"/>
            </w:tcBorders>
            <w:hideMark/>
          </w:tcPr>
          <w:p w14:paraId="7B534BF4" w14:textId="77777777" w:rsidR="00FB12AE" w:rsidRDefault="00FB12AE" w:rsidP="00FB12AE">
            <w:pPr>
              <w:spacing w:after="255"/>
              <w:contextualSpacing/>
              <w:rPr>
                <w:sz w:val="16"/>
                <w:lang w:val="en-US"/>
              </w:rPr>
            </w:pPr>
            <w:proofErr w:type="spellStart"/>
            <w:r>
              <w:rPr>
                <w:sz w:val="16"/>
                <w:lang w:val="en-US"/>
              </w:rPr>
              <w:t>Realiseret</w:t>
            </w:r>
            <w:proofErr w:type="spellEnd"/>
            <w:r>
              <w:rPr>
                <w:sz w:val="16"/>
                <w:lang w:val="en-US"/>
              </w:rPr>
              <w:t xml:space="preserve"> </w:t>
            </w:r>
            <w:proofErr w:type="spellStart"/>
            <w:r>
              <w:rPr>
                <w:sz w:val="16"/>
                <w:lang w:val="en-US"/>
              </w:rPr>
              <w:t>belægning</w:t>
            </w:r>
            <w:proofErr w:type="spellEnd"/>
            <w:r>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595C5BA" w14:textId="6A3B348C" w:rsidR="00FB12AE"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74,5%</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CF549A" w14:textId="0816A6FE" w:rsidR="00FB12AE" w:rsidRDefault="00877105"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93,3%</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ED5E3B" w14:textId="77777777" w:rsidR="00FB12AE"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p>
        </w:tc>
      </w:tr>
    </w:tbl>
    <w:p w14:paraId="728D25F9" w14:textId="1F87157E" w:rsidR="00FA548E" w:rsidRPr="00655475" w:rsidRDefault="00A72BEC" w:rsidP="00655475">
      <w:pPr>
        <w:pStyle w:val="DagsordenReferat-Opstilling"/>
        <w:numPr>
          <w:ilvl w:val="0"/>
          <w:numId w:val="0"/>
        </w:numPr>
        <w:rPr>
          <w:b w:val="0"/>
          <w:bCs/>
          <w:color w:val="auto"/>
          <w:sz w:val="18"/>
        </w:rPr>
      </w:pPr>
      <w:r w:rsidRPr="002825BB">
        <w:rPr>
          <w:b w:val="0"/>
          <w:bCs/>
          <w:color w:val="auto"/>
          <w:sz w:val="18"/>
        </w:rPr>
        <w:t xml:space="preserve">Ydelse 2A og 2B ligger </w:t>
      </w:r>
      <w:r w:rsidR="00CF32C9">
        <w:rPr>
          <w:b w:val="0"/>
          <w:bCs/>
          <w:color w:val="auto"/>
          <w:sz w:val="18"/>
        </w:rPr>
        <w:t>i underkanten af</w:t>
      </w:r>
      <w:r w:rsidR="00655475" w:rsidRPr="002825BB">
        <w:rPr>
          <w:b w:val="0"/>
          <w:bCs/>
          <w:color w:val="auto"/>
          <w:sz w:val="18"/>
        </w:rPr>
        <w:t xml:space="preserve"> det budgetterede. Efterspørgslen på småbørns- og skoleområdet </w:t>
      </w:r>
      <w:r w:rsidR="00CF32C9">
        <w:rPr>
          <w:b w:val="0"/>
          <w:bCs/>
          <w:color w:val="auto"/>
          <w:sz w:val="18"/>
        </w:rPr>
        <w:t>er dog steget støt siden de sidste års COVID- lukninger.</w:t>
      </w:r>
      <w:r w:rsidR="00716441">
        <w:rPr>
          <w:b w:val="0"/>
          <w:bCs/>
          <w:color w:val="auto"/>
          <w:sz w:val="18"/>
        </w:rPr>
        <w:t xml:space="preserve"> </w:t>
      </w:r>
      <w:r w:rsidR="004F6A28">
        <w:rPr>
          <w:b w:val="0"/>
          <w:bCs/>
          <w:color w:val="auto"/>
          <w:sz w:val="18"/>
        </w:rPr>
        <w:t>Kapacitet og realiseret aktivitet er opgjort i timer.</w:t>
      </w:r>
    </w:p>
    <w:tbl>
      <w:tblPr>
        <w:tblStyle w:val="Gittertabel5-mrk-farve2"/>
        <w:tblW w:w="0" w:type="auto"/>
        <w:tblLook w:val="04A0" w:firstRow="1" w:lastRow="0" w:firstColumn="1" w:lastColumn="0" w:noHBand="0" w:noVBand="1"/>
      </w:tblPr>
      <w:tblGrid>
        <w:gridCol w:w="3085"/>
        <w:gridCol w:w="2042"/>
        <w:gridCol w:w="2042"/>
        <w:gridCol w:w="2042"/>
      </w:tblGrid>
      <w:tr w:rsidR="00FB12AE" w14:paraId="47829EA2" w14:textId="77777777" w:rsidTr="00FA5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FFFFFF" w:themeColor="background1"/>
            </w:tcBorders>
            <w:hideMark/>
          </w:tcPr>
          <w:p w14:paraId="1B155116" w14:textId="77777777" w:rsidR="00FB12AE" w:rsidRPr="00FA548E" w:rsidRDefault="00FB12AE" w:rsidP="00FB12AE">
            <w:pPr>
              <w:spacing w:after="255"/>
              <w:contextualSpacing/>
              <w:rPr>
                <w:sz w:val="16"/>
              </w:rPr>
            </w:pPr>
            <w:r w:rsidRPr="00FA548E">
              <w:rPr>
                <w:sz w:val="16"/>
              </w:rPr>
              <w:t>2C Høreområdet – Konsulentbistand til voksne</w:t>
            </w:r>
          </w:p>
        </w:tc>
        <w:tc>
          <w:tcPr>
            <w:tcW w:w="2042" w:type="dxa"/>
            <w:tcBorders>
              <w:bottom w:val="single" w:sz="4" w:space="0" w:color="FFFFFF" w:themeColor="background1"/>
            </w:tcBorders>
            <w:hideMark/>
          </w:tcPr>
          <w:p w14:paraId="1BD46C3F" w14:textId="663E08A0"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2021</w:t>
            </w:r>
          </w:p>
        </w:tc>
        <w:tc>
          <w:tcPr>
            <w:tcW w:w="2042" w:type="dxa"/>
            <w:tcBorders>
              <w:bottom w:val="single" w:sz="4" w:space="0" w:color="FFFFFF" w:themeColor="background1"/>
            </w:tcBorders>
            <w:hideMark/>
          </w:tcPr>
          <w:p w14:paraId="3F4969A7" w14:textId="7AF95375"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2022</w:t>
            </w:r>
          </w:p>
        </w:tc>
        <w:tc>
          <w:tcPr>
            <w:tcW w:w="2042" w:type="dxa"/>
            <w:tcBorders>
              <w:bottom w:val="single" w:sz="4" w:space="0" w:color="FFFFFF" w:themeColor="background1"/>
            </w:tcBorders>
            <w:hideMark/>
          </w:tcPr>
          <w:p w14:paraId="7E67116B" w14:textId="152A8492"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2023</w:t>
            </w:r>
          </w:p>
          <w:p w14:paraId="53142956" w14:textId="77777777"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w:t>
            </w:r>
            <w:proofErr w:type="spellStart"/>
            <w:r>
              <w:rPr>
                <w:sz w:val="16"/>
                <w:lang w:val="en-US"/>
              </w:rPr>
              <w:t>forventet</w:t>
            </w:r>
            <w:proofErr w:type="spellEnd"/>
            <w:r>
              <w:rPr>
                <w:sz w:val="16"/>
                <w:lang w:val="en-US"/>
              </w:rPr>
              <w:t>)</w:t>
            </w:r>
          </w:p>
        </w:tc>
      </w:tr>
      <w:tr w:rsidR="00FB12AE" w14:paraId="6B82B282" w14:textId="77777777" w:rsidTr="00FB1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790C973F" w14:textId="77777777" w:rsidR="00FB12AE" w:rsidRDefault="00FB12AE" w:rsidP="00FB12AE">
            <w:pPr>
              <w:spacing w:after="255"/>
              <w:contextualSpacing/>
              <w:rPr>
                <w:sz w:val="16"/>
                <w:lang w:val="en-US"/>
              </w:rPr>
            </w:pPr>
            <w:proofErr w:type="spellStart"/>
            <w:r>
              <w:rPr>
                <w:sz w:val="16"/>
                <w:lang w:val="en-US"/>
              </w:rPr>
              <w:t>Kapacitet</w:t>
            </w:r>
            <w:proofErr w:type="spellEnd"/>
            <w:r>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3134964" w14:textId="476C5C9D" w:rsidR="00FB12AE" w:rsidRDefault="00FB12AE"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7.800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F364C2" w14:textId="7AB8A83F" w:rsidR="00FB12AE"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7.800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6D41D1" w14:textId="191B6E74" w:rsidR="00FB12AE"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7.800</w:t>
            </w:r>
          </w:p>
        </w:tc>
      </w:tr>
      <w:tr w:rsidR="00FB12AE" w14:paraId="2EC07386" w14:textId="77777777" w:rsidTr="00FB12AE">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10071F4A" w14:textId="77777777" w:rsidR="00FB12AE" w:rsidRDefault="00FB12AE" w:rsidP="00FB12AE">
            <w:pPr>
              <w:spacing w:after="255"/>
              <w:contextualSpacing/>
              <w:rPr>
                <w:sz w:val="16"/>
                <w:lang w:val="en-US"/>
              </w:rPr>
            </w:pPr>
            <w:proofErr w:type="spellStart"/>
            <w:r>
              <w:rPr>
                <w:sz w:val="16"/>
                <w:lang w:val="en-US"/>
              </w:rPr>
              <w:t>Realiseret</w:t>
            </w:r>
            <w:proofErr w:type="spellEnd"/>
            <w:r>
              <w:rPr>
                <w:sz w:val="16"/>
                <w:lang w:val="en-US"/>
              </w:rPr>
              <w:t xml:space="preserve"> </w:t>
            </w:r>
            <w:proofErr w:type="spellStart"/>
            <w:r>
              <w:rPr>
                <w:sz w:val="16"/>
                <w:lang w:val="en-US"/>
              </w:rPr>
              <w:t>aktivitet</w:t>
            </w:r>
            <w:proofErr w:type="spellEnd"/>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C48094F" w14:textId="140A718B" w:rsidR="00FB12AE"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7.214</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A1B13" w14:textId="29B6132B" w:rsidR="00FB12AE" w:rsidRDefault="00877105"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8.536</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0DA004" w14:textId="77777777" w:rsidR="00FB12AE"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p>
        </w:tc>
      </w:tr>
      <w:tr w:rsidR="00FB12AE" w14:paraId="506A951B" w14:textId="77777777" w:rsidTr="00FB1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281CACC1" w14:textId="77777777" w:rsidR="00FB12AE" w:rsidRDefault="00FB12AE" w:rsidP="00FB12AE">
            <w:pPr>
              <w:spacing w:after="255"/>
              <w:contextualSpacing/>
              <w:rPr>
                <w:sz w:val="16"/>
                <w:lang w:val="en-US"/>
              </w:rPr>
            </w:pPr>
            <w:proofErr w:type="spellStart"/>
            <w:r>
              <w:rPr>
                <w:sz w:val="16"/>
                <w:lang w:val="en-US"/>
              </w:rPr>
              <w:t>Budgetteret</w:t>
            </w:r>
            <w:proofErr w:type="spellEnd"/>
            <w:r>
              <w:rPr>
                <w:sz w:val="16"/>
                <w:lang w:val="en-US"/>
              </w:rPr>
              <w:t xml:space="preserve"> </w:t>
            </w:r>
            <w:proofErr w:type="spellStart"/>
            <w:r>
              <w:rPr>
                <w:sz w:val="16"/>
                <w:lang w:val="en-US"/>
              </w:rPr>
              <w:t>belægning</w:t>
            </w:r>
            <w:proofErr w:type="spellEnd"/>
            <w:r>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F1C301E" w14:textId="330C6EFB" w:rsidR="00FB12AE" w:rsidRDefault="00FB12AE"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6EDE18" w14:textId="46377E26" w:rsidR="00FB12AE"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4B0779" w14:textId="59EF455B" w:rsidR="00FB12AE"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95,0%</w:t>
            </w:r>
          </w:p>
        </w:tc>
      </w:tr>
      <w:tr w:rsidR="00FB12AE" w:rsidRPr="002825BB" w14:paraId="79EF5ADD" w14:textId="77777777" w:rsidTr="00FB12AE">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right w:val="single" w:sz="4" w:space="0" w:color="FFFFFF" w:themeColor="background1"/>
            </w:tcBorders>
            <w:hideMark/>
          </w:tcPr>
          <w:p w14:paraId="23E71915" w14:textId="77777777" w:rsidR="00FB12AE" w:rsidRPr="002825BB" w:rsidRDefault="00FB12AE" w:rsidP="00FB12AE">
            <w:pPr>
              <w:spacing w:after="255"/>
              <w:contextualSpacing/>
              <w:rPr>
                <w:sz w:val="16"/>
                <w:lang w:val="en-US"/>
              </w:rPr>
            </w:pPr>
            <w:proofErr w:type="spellStart"/>
            <w:r w:rsidRPr="002825BB">
              <w:rPr>
                <w:sz w:val="16"/>
                <w:lang w:val="en-US"/>
              </w:rPr>
              <w:t>Realiseret</w:t>
            </w:r>
            <w:proofErr w:type="spellEnd"/>
            <w:r w:rsidRPr="002825BB">
              <w:rPr>
                <w:sz w:val="16"/>
                <w:lang w:val="en-US"/>
              </w:rPr>
              <w:t xml:space="preserve"> </w:t>
            </w:r>
            <w:proofErr w:type="spellStart"/>
            <w:r w:rsidRPr="002825BB">
              <w:rPr>
                <w:sz w:val="16"/>
                <w:lang w:val="en-US"/>
              </w:rPr>
              <w:t>belægning</w:t>
            </w:r>
            <w:proofErr w:type="spellEnd"/>
            <w:r w:rsidRPr="002825BB">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3BA0029" w14:textId="4CA6A0A1" w:rsidR="00FB12AE" w:rsidRPr="002825BB"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sidRPr="002825BB">
              <w:rPr>
                <w:sz w:val="16"/>
                <w:lang w:val="en-US"/>
              </w:rPr>
              <w:t>92,5%</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A51450" w14:textId="165A6058" w:rsidR="00FB12AE" w:rsidRPr="002825BB" w:rsidRDefault="00877105"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109,4%</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091ECB" w14:textId="77777777" w:rsidR="00FB12AE" w:rsidRPr="002825BB"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p>
        </w:tc>
      </w:tr>
    </w:tbl>
    <w:p w14:paraId="0151F342" w14:textId="6F1E6BAB" w:rsidR="00FA548E" w:rsidRPr="00655475" w:rsidRDefault="00655475" w:rsidP="00655475">
      <w:pPr>
        <w:pStyle w:val="DagsordenReferat-Opstilling"/>
        <w:numPr>
          <w:ilvl w:val="0"/>
          <w:numId w:val="0"/>
        </w:numPr>
        <w:rPr>
          <w:b w:val="0"/>
          <w:bCs/>
          <w:color w:val="auto"/>
          <w:sz w:val="18"/>
        </w:rPr>
      </w:pPr>
      <w:r w:rsidRPr="002825BB">
        <w:rPr>
          <w:b w:val="0"/>
          <w:bCs/>
          <w:color w:val="auto"/>
          <w:sz w:val="18"/>
        </w:rPr>
        <w:t xml:space="preserve">Ydelse 2C høreområdet indeholder konsulentbistand til voksne hørehæmmede og døve. Aktiviteten </w:t>
      </w:r>
      <w:r w:rsidR="00CF32C9">
        <w:rPr>
          <w:b w:val="0"/>
          <w:bCs/>
          <w:color w:val="auto"/>
          <w:sz w:val="18"/>
        </w:rPr>
        <w:t>er over det budgetterede.</w:t>
      </w:r>
      <w:r w:rsidR="00716441">
        <w:rPr>
          <w:b w:val="0"/>
          <w:bCs/>
          <w:color w:val="auto"/>
          <w:sz w:val="18"/>
        </w:rPr>
        <w:t xml:space="preserve"> </w:t>
      </w:r>
      <w:r w:rsidR="004F6A28">
        <w:rPr>
          <w:b w:val="0"/>
          <w:bCs/>
          <w:color w:val="auto"/>
          <w:sz w:val="18"/>
        </w:rPr>
        <w:t>Kapacitet og realiseret aktivitet er opgjort i timer.</w:t>
      </w:r>
    </w:p>
    <w:tbl>
      <w:tblPr>
        <w:tblStyle w:val="Gittertabel5-mrk-farve2"/>
        <w:tblW w:w="0" w:type="auto"/>
        <w:tblLook w:val="04A0" w:firstRow="1" w:lastRow="0" w:firstColumn="1" w:lastColumn="0" w:noHBand="0" w:noVBand="1"/>
      </w:tblPr>
      <w:tblGrid>
        <w:gridCol w:w="3085"/>
        <w:gridCol w:w="2042"/>
        <w:gridCol w:w="2042"/>
        <w:gridCol w:w="2042"/>
      </w:tblGrid>
      <w:tr w:rsidR="00FB12AE" w14:paraId="3B693489" w14:textId="77777777" w:rsidTr="006A1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FFFFFF" w:themeColor="background1"/>
            </w:tcBorders>
            <w:hideMark/>
          </w:tcPr>
          <w:p w14:paraId="2ED48C84" w14:textId="77777777" w:rsidR="00FB12AE" w:rsidRPr="006A1419" w:rsidRDefault="00FB12AE" w:rsidP="00FB12AE">
            <w:pPr>
              <w:spacing w:after="255"/>
              <w:contextualSpacing/>
              <w:rPr>
                <w:sz w:val="16"/>
              </w:rPr>
            </w:pPr>
            <w:r w:rsidRPr="006A1419">
              <w:rPr>
                <w:sz w:val="16"/>
              </w:rPr>
              <w:t>2C Syns- og ASK-området – Konsulentbistand til voksne</w:t>
            </w:r>
          </w:p>
        </w:tc>
        <w:tc>
          <w:tcPr>
            <w:tcW w:w="2042" w:type="dxa"/>
            <w:tcBorders>
              <w:bottom w:val="single" w:sz="4" w:space="0" w:color="FFFFFF" w:themeColor="background1"/>
            </w:tcBorders>
            <w:hideMark/>
          </w:tcPr>
          <w:p w14:paraId="2B1F7E05" w14:textId="6BA2D4D2"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2021</w:t>
            </w:r>
          </w:p>
        </w:tc>
        <w:tc>
          <w:tcPr>
            <w:tcW w:w="2042" w:type="dxa"/>
            <w:tcBorders>
              <w:bottom w:val="single" w:sz="4" w:space="0" w:color="FFFFFF" w:themeColor="background1"/>
            </w:tcBorders>
            <w:hideMark/>
          </w:tcPr>
          <w:p w14:paraId="72324607" w14:textId="78544C73"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2022</w:t>
            </w:r>
          </w:p>
        </w:tc>
        <w:tc>
          <w:tcPr>
            <w:tcW w:w="2042" w:type="dxa"/>
            <w:tcBorders>
              <w:bottom w:val="single" w:sz="4" w:space="0" w:color="FFFFFF" w:themeColor="background1"/>
            </w:tcBorders>
            <w:hideMark/>
          </w:tcPr>
          <w:p w14:paraId="0DB56DF0" w14:textId="6B2A673C"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2023</w:t>
            </w:r>
          </w:p>
          <w:p w14:paraId="0447392D" w14:textId="77777777"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w:t>
            </w:r>
            <w:proofErr w:type="spellStart"/>
            <w:r>
              <w:rPr>
                <w:sz w:val="16"/>
                <w:lang w:val="en-US"/>
              </w:rPr>
              <w:t>forventet</w:t>
            </w:r>
            <w:proofErr w:type="spellEnd"/>
            <w:r>
              <w:rPr>
                <w:sz w:val="16"/>
                <w:lang w:val="en-US"/>
              </w:rPr>
              <w:t>)</w:t>
            </w:r>
          </w:p>
        </w:tc>
      </w:tr>
      <w:tr w:rsidR="00FB12AE" w14:paraId="4DBBAE39" w14:textId="77777777" w:rsidTr="00FB1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4E1146A8" w14:textId="77777777" w:rsidR="00FB12AE" w:rsidRDefault="00FB12AE" w:rsidP="00FB12AE">
            <w:pPr>
              <w:spacing w:after="255"/>
              <w:contextualSpacing/>
              <w:rPr>
                <w:sz w:val="16"/>
                <w:lang w:val="en-US"/>
              </w:rPr>
            </w:pPr>
            <w:proofErr w:type="spellStart"/>
            <w:r>
              <w:rPr>
                <w:sz w:val="16"/>
                <w:lang w:val="en-US"/>
              </w:rPr>
              <w:t>Kapacitet</w:t>
            </w:r>
            <w:proofErr w:type="spellEnd"/>
            <w:r>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7D08189" w14:textId="199C8F8E" w:rsidR="00FB12AE" w:rsidRDefault="00FB12AE"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9.800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062AD3" w14:textId="79BE5A91" w:rsidR="00FB12AE"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9.800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A5DA7D" w14:textId="16A560E4" w:rsidR="00FB12AE"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9.800</w:t>
            </w:r>
          </w:p>
        </w:tc>
      </w:tr>
      <w:tr w:rsidR="00FB12AE" w14:paraId="729B2093" w14:textId="77777777" w:rsidTr="00FB12AE">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34179F1E" w14:textId="77777777" w:rsidR="00FB12AE" w:rsidRDefault="00FB12AE" w:rsidP="00FB12AE">
            <w:pPr>
              <w:spacing w:after="255"/>
              <w:contextualSpacing/>
              <w:rPr>
                <w:sz w:val="16"/>
                <w:lang w:val="en-US"/>
              </w:rPr>
            </w:pPr>
            <w:proofErr w:type="spellStart"/>
            <w:r>
              <w:rPr>
                <w:sz w:val="16"/>
                <w:lang w:val="en-US"/>
              </w:rPr>
              <w:t>Realiseret</w:t>
            </w:r>
            <w:proofErr w:type="spellEnd"/>
            <w:r>
              <w:rPr>
                <w:sz w:val="16"/>
                <w:lang w:val="en-US"/>
              </w:rPr>
              <w:t xml:space="preserve"> </w:t>
            </w:r>
            <w:proofErr w:type="spellStart"/>
            <w:r>
              <w:rPr>
                <w:sz w:val="16"/>
                <w:lang w:val="en-US"/>
              </w:rPr>
              <w:t>aktivitet</w:t>
            </w:r>
            <w:proofErr w:type="spellEnd"/>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94016A5" w14:textId="63B89287" w:rsidR="00FB12AE"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8.824</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B17C1F" w14:textId="338A4958" w:rsidR="00FB12AE" w:rsidRDefault="00877105"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8.856</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F3BCB5" w14:textId="77777777" w:rsidR="00FB12AE"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p>
        </w:tc>
      </w:tr>
      <w:tr w:rsidR="00FB12AE" w14:paraId="2E31E6F2" w14:textId="77777777" w:rsidTr="00FB1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443DA9C7" w14:textId="77777777" w:rsidR="00FB12AE" w:rsidRDefault="00FB12AE" w:rsidP="00FB12AE">
            <w:pPr>
              <w:spacing w:after="255"/>
              <w:contextualSpacing/>
              <w:rPr>
                <w:sz w:val="16"/>
                <w:lang w:val="en-US"/>
              </w:rPr>
            </w:pPr>
            <w:proofErr w:type="spellStart"/>
            <w:r>
              <w:rPr>
                <w:sz w:val="16"/>
                <w:lang w:val="en-US"/>
              </w:rPr>
              <w:t>Budgetteret</w:t>
            </w:r>
            <w:proofErr w:type="spellEnd"/>
            <w:r>
              <w:rPr>
                <w:sz w:val="16"/>
                <w:lang w:val="en-US"/>
              </w:rPr>
              <w:t xml:space="preserve"> </w:t>
            </w:r>
            <w:proofErr w:type="spellStart"/>
            <w:r>
              <w:rPr>
                <w:sz w:val="16"/>
                <w:lang w:val="en-US"/>
              </w:rPr>
              <w:t>belægning</w:t>
            </w:r>
            <w:proofErr w:type="spellEnd"/>
            <w:r>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CA7133C" w14:textId="5DE52A01" w:rsidR="00FB12AE" w:rsidRDefault="00FB12AE"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999368" w14:textId="2C7F6D72" w:rsidR="00FB12AE"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B8AF83" w14:textId="2F966EA1" w:rsidR="00FB12AE"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Pr>
                <w:sz w:val="16"/>
                <w:lang w:val="en-US"/>
              </w:rPr>
              <w:t>95,0%</w:t>
            </w:r>
          </w:p>
        </w:tc>
      </w:tr>
      <w:tr w:rsidR="00FB12AE" w14:paraId="58E00B15" w14:textId="77777777" w:rsidTr="00FB12AE">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right w:val="single" w:sz="4" w:space="0" w:color="FFFFFF" w:themeColor="background1"/>
            </w:tcBorders>
            <w:hideMark/>
          </w:tcPr>
          <w:p w14:paraId="4B75934A" w14:textId="77777777" w:rsidR="00FB12AE" w:rsidRDefault="00FB12AE" w:rsidP="00FB12AE">
            <w:pPr>
              <w:spacing w:after="255"/>
              <w:contextualSpacing/>
              <w:rPr>
                <w:sz w:val="16"/>
                <w:lang w:val="en-US"/>
              </w:rPr>
            </w:pPr>
            <w:proofErr w:type="spellStart"/>
            <w:r>
              <w:rPr>
                <w:sz w:val="16"/>
                <w:lang w:val="en-US"/>
              </w:rPr>
              <w:t>Realiseret</w:t>
            </w:r>
            <w:proofErr w:type="spellEnd"/>
            <w:r>
              <w:rPr>
                <w:sz w:val="16"/>
                <w:lang w:val="en-US"/>
              </w:rPr>
              <w:t xml:space="preserve"> </w:t>
            </w:r>
            <w:proofErr w:type="spellStart"/>
            <w:r>
              <w:rPr>
                <w:sz w:val="16"/>
                <w:lang w:val="en-US"/>
              </w:rPr>
              <w:t>belægning</w:t>
            </w:r>
            <w:proofErr w:type="spellEnd"/>
            <w:r>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8A05702" w14:textId="1CF6E878" w:rsidR="00FB12AE"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90,0%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36D712" w14:textId="51DA8277" w:rsidR="00FB12AE" w:rsidRDefault="00877105"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90,4%</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E5A461" w14:textId="77777777" w:rsidR="00FB12AE"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p>
        </w:tc>
      </w:tr>
    </w:tbl>
    <w:p w14:paraId="70FB8B44" w14:textId="75AAD74C" w:rsidR="006A1419" w:rsidRPr="00B051C3" w:rsidRDefault="00655475" w:rsidP="00655475">
      <w:pPr>
        <w:pStyle w:val="DagsordenReferat-Opstilling"/>
        <w:numPr>
          <w:ilvl w:val="0"/>
          <w:numId w:val="0"/>
        </w:numPr>
        <w:rPr>
          <w:b w:val="0"/>
          <w:bCs/>
          <w:color w:val="auto"/>
          <w:sz w:val="18"/>
        </w:rPr>
      </w:pPr>
      <w:r w:rsidRPr="002825BB">
        <w:rPr>
          <w:b w:val="0"/>
          <w:bCs/>
          <w:color w:val="auto"/>
          <w:sz w:val="18"/>
        </w:rPr>
        <w:t xml:space="preserve">Ydelse 2C syn og ASK indeholder konsulentbistand til blinde og svagsynede voksne. Aktiviteten </w:t>
      </w:r>
      <w:r w:rsidR="00CF32C9">
        <w:rPr>
          <w:b w:val="0"/>
          <w:bCs/>
          <w:color w:val="auto"/>
          <w:sz w:val="18"/>
        </w:rPr>
        <w:t xml:space="preserve">ligger noget under det budgetterede i 2022. </w:t>
      </w:r>
      <w:r w:rsidR="000D1C61" w:rsidRPr="00BD19F8">
        <w:rPr>
          <w:b w:val="0"/>
          <w:bCs/>
          <w:color w:val="auto"/>
          <w:sz w:val="18"/>
        </w:rPr>
        <w:t xml:space="preserve">Dette skyldes primært </w:t>
      </w:r>
      <w:r w:rsidR="00BD19F8" w:rsidRPr="00BD19F8">
        <w:rPr>
          <w:b w:val="0"/>
          <w:bCs/>
          <w:color w:val="auto"/>
          <w:sz w:val="18"/>
        </w:rPr>
        <w:t xml:space="preserve">et </w:t>
      </w:r>
      <w:r w:rsidR="000D1C61" w:rsidRPr="00BD19F8">
        <w:rPr>
          <w:b w:val="0"/>
          <w:bCs/>
          <w:color w:val="auto"/>
          <w:sz w:val="18"/>
        </w:rPr>
        <w:t>generationsskifte i rådgiver</w:t>
      </w:r>
      <w:r w:rsidR="00BD19F8" w:rsidRPr="00BD19F8">
        <w:rPr>
          <w:b w:val="0"/>
          <w:bCs/>
          <w:color w:val="auto"/>
          <w:sz w:val="18"/>
        </w:rPr>
        <w:t>gruppen,</w:t>
      </w:r>
      <w:r w:rsidR="004F1784">
        <w:rPr>
          <w:b w:val="0"/>
          <w:bCs/>
          <w:color w:val="auto"/>
          <w:sz w:val="18"/>
        </w:rPr>
        <w:t xml:space="preserve"> </w:t>
      </w:r>
      <w:r w:rsidR="00CF32C9" w:rsidRPr="004F1784">
        <w:rPr>
          <w:b w:val="0"/>
          <w:bCs/>
          <w:color w:val="auto"/>
          <w:sz w:val="18"/>
        </w:rPr>
        <w:t>som kræver stor uddannelse af nye specialister</w:t>
      </w:r>
      <w:r w:rsidR="00BD19F8" w:rsidRPr="00BD19F8">
        <w:rPr>
          <w:b w:val="0"/>
          <w:bCs/>
          <w:color w:val="auto"/>
          <w:sz w:val="18"/>
        </w:rPr>
        <w:t>, som under uddannelsen ikke har kunnet indgå i driften</w:t>
      </w:r>
      <w:r w:rsidR="004F1784">
        <w:rPr>
          <w:b w:val="0"/>
          <w:bCs/>
          <w:color w:val="auto"/>
          <w:sz w:val="18"/>
        </w:rPr>
        <w:t>.</w:t>
      </w:r>
      <w:r w:rsidR="00716441">
        <w:rPr>
          <w:b w:val="0"/>
          <w:bCs/>
          <w:color w:val="auto"/>
          <w:sz w:val="18"/>
        </w:rPr>
        <w:t xml:space="preserve"> </w:t>
      </w:r>
      <w:r w:rsidR="004F6A28">
        <w:rPr>
          <w:b w:val="0"/>
          <w:bCs/>
          <w:color w:val="auto"/>
          <w:sz w:val="18"/>
        </w:rPr>
        <w:t>Kapacitet og realiseret aktivitet er opgjort i timer.</w:t>
      </w:r>
    </w:p>
    <w:tbl>
      <w:tblPr>
        <w:tblStyle w:val="Gittertabel5-mrk-farve2"/>
        <w:tblW w:w="0" w:type="auto"/>
        <w:tblLook w:val="04A0" w:firstRow="1" w:lastRow="0" w:firstColumn="1" w:lastColumn="0" w:noHBand="0" w:noVBand="1"/>
      </w:tblPr>
      <w:tblGrid>
        <w:gridCol w:w="3085"/>
        <w:gridCol w:w="2042"/>
        <w:gridCol w:w="2042"/>
        <w:gridCol w:w="2042"/>
      </w:tblGrid>
      <w:tr w:rsidR="00FB12AE" w:rsidRPr="00B051C3" w14:paraId="520094C2" w14:textId="77777777" w:rsidTr="006A1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FFFFFF" w:themeColor="background1"/>
            </w:tcBorders>
            <w:hideMark/>
          </w:tcPr>
          <w:p w14:paraId="3C76DFC7" w14:textId="77777777" w:rsidR="00FB12AE" w:rsidRPr="00B051C3" w:rsidRDefault="00FB12AE" w:rsidP="00FB12AE">
            <w:pPr>
              <w:spacing w:after="255"/>
              <w:contextualSpacing/>
              <w:rPr>
                <w:sz w:val="16"/>
              </w:rPr>
            </w:pPr>
            <w:r w:rsidRPr="00B051C3">
              <w:rPr>
                <w:sz w:val="16"/>
              </w:rPr>
              <w:lastRenderedPageBreak/>
              <w:t>2D Synsområdet – Medicin-optiske øjenlidelser</w:t>
            </w:r>
          </w:p>
        </w:tc>
        <w:tc>
          <w:tcPr>
            <w:tcW w:w="2042" w:type="dxa"/>
            <w:tcBorders>
              <w:bottom w:val="single" w:sz="4" w:space="0" w:color="FFFFFF" w:themeColor="background1"/>
            </w:tcBorders>
            <w:hideMark/>
          </w:tcPr>
          <w:p w14:paraId="377398A8" w14:textId="0096E074" w:rsidR="00FB12AE" w:rsidRPr="00B051C3"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2021</w:t>
            </w:r>
          </w:p>
        </w:tc>
        <w:tc>
          <w:tcPr>
            <w:tcW w:w="2042" w:type="dxa"/>
            <w:tcBorders>
              <w:bottom w:val="single" w:sz="4" w:space="0" w:color="FFFFFF" w:themeColor="background1"/>
            </w:tcBorders>
            <w:hideMark/>
          </w:tcPr>
          <w:p w14:paraId="68B423D2" w14:textId="650BEB52" w:rsidR="00FB12AE" w:rsidRPr="00B051C3"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2022</w:t>
            </w:r>
          </w:p>
        </w:tc>
        <w:tc>
          <w:tcPr>
            <w:tcW w:w="2042" w:type="dxa"/>
            <w:tcBorders>
              <w:bottom w:val="single" w:sz="4" w:space="0" w:color="FFFFFF" w:themeColor="background1"/>
            </w:tcBorders>
            <w:hideMark/>
          </w:tcPr>
          <w:p w14:paraId="61CF115E" w14:textId="5AB267D4" w:rsidR="00FB12AE" w:rsidRPr="00B051C3"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sidRPr="00B051C3">
              <w:rPr>
                <w:sz w:val="16"/>
                <w:lang w:val="en-US"/>
              </w:rPr>
              <w:t>202</w:t>
            </w:r>
            <w:r>
              <w:rPr>
                <w:sz w:val="16"/>
                <w:lang w:val="en-US"/>
              </w:rPr>
              <w:t>3</w:t>
            </w:r>
          </w:p>
          <w:p w14:paraId="5FDA3A6F" w14:textId="77777777" w:rsidR="00FB12AE" w:rsidRPr="00B051C3"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sidRPr="00B051C3">
              <w:rPr>
                <w:sz w:val="16"/>
                <w:lang w:val="en-US"/>
              </w:rPr>
              <w:t>(</w:t>
            </w:r>
            <w:proofErr w:type="spellStart"/>
            <w:r w:rsidRPr="00B051C3">
              <w:rPr>
                <w:sz w:val="16"/>
                <w:lang w:val="en-US"/>
              </w:rPr>
              <w:t>forventet</w:t>
            </w:r>
            <w:proofErr w:type="spellEnd"/>
            <w:r w:rsidRPr="00B051C3">
              <w:rPr>
                <w:sz w:val="16"/>
                <w:lang w:val="en-US"/>
              </w:rPr>
              <w:t>)</w:t>
            </w:r>
          </w:p>
        </w:tc>
      </w:tr>
      <w:tr w:rsidR="00FB12AE" w:rsidRPr="00B051C3" w14:paraId="4C42B36A" w14:textId="77777777" w:rsidTr="00FB1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7B57A78C" w14:textId="77777777" w:rsidR="00FB12AE" w:rsidRPr="00B051C3" w:rsidRDefault="00FB12AE" w:rsidP="00FB12AE">
            <w:pPr>
              <w:spacing w:after="255"/>
              <w:contextualSpacing/>
              <w:rPr>
                <w:sz w:val="16"/>
                <w:lang w:val="en-US"/>
              </w:rPr>
            </w:pPr>
            <w:proofErr w:type="spellStart"/>
            <w:r w:rsidRPr="00B051C3">
              <w:rPr>
                <w:sz w:val="16"/>
                <w:lang w:val="en-US"/>
              </w:rPr>
              <w:t>Kapacitet</w:t>
            </w:r>
            <w:proofErr w:type="spellEnd"/>
            <w:r w:rsidRPr="00B051C3">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CC3943A" w14:textId="36DA7A98" w:rsidR="00FB12AE" w:rsidRPr="00B051C3" w:rsidRDefault="00FB12AE"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B051C3">
              <w:rPr>
                <w:sz w:val="16"/>
                <w:lang w:val="en-US"/>
              </w:rPr>
              <w:t>960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1A6457" w14:textId="50308786" w:rsidR="00FB12AE" w:rsidRPr="00B051C3"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B051C3">
              <w:rPr>
                <w:sz w:val="16"/>
                <w:lang w:val="en-US"/>
              </w:rPr>
              <w:t>960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882D67" w14:textId="70CBFAB7" w:rsidR="00FB12AE" w:rsidRPr="00B051C3"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B051C3">
              <w:rPr>
                <w:sz w:val="16"/>
                <w:lang w:val="en-US"/>
              </w:rPr>
              <w:t>960</w:t>
            </w:r>
          </w:p>
        </w:tc>
      </w:tr>
      <w:tr w:rsidR="00FB12AE" w:rsidRPr="00B051C3" w14:paraId="348A7DAF" w14:textId="77777777" w:rsidTr="00FB12AE">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35E9D209" w14:textId="77777777" w:rsidR="00FB12AE" w:rsidRPr="00B051C3" w:rsidRDefault="00FB12AE" w:rsidP="00FB12AE">
            <w:pPr>
              <w:spacing w:after="255"/>
              <w:contextualSpacing/>
              <w:rPr>
                <w:sz w:val="16"/>
                <w:lang w:val="en-US"/>
              </w:rPr>
            </w:pPr>
            <w:proofErr w:type="spellStart"/>
            <w:r w:rsidRPr="00B051C3">
              <w:rPr>
                <w:sz w:val="16"/>
                <w:lang w:val="en-US"/>
              </w:rPr>
              <w:t>Realiseret</w:t>
            </w:r>
            <w:proofErr w:type="spellEnd"/>
            <w:r w:rsidRPr="00B051C3">
              <w:rPr>
                <w:sz w:val="16"/>
                <w:lang w:val="en-US"/>
              </w:rPr>
              <w:t xml:space="preserve"> </w:t>
            </w:r>
            <w:proofErr w:type="spellStart"/>
            <w:r w:rsidRPr="00B051C3">
              <w:rPr>
                <w:sz w:val="16"/>
                <w:lang w:val="en-US"/>
              </w:rPr>
              <w:t>aktivitet</w:t>
            </w:r>
            <w:proofErr w:type="spellEnd"/>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62B65A7" w14:textId="21D636E7" w:rsidR="00FB12AE" w:rsidRPr="00B051C3"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sidRPr="00B051C3">
              <w:rPr>
                <w:sz w:val="16"/>
                <w:lang w:val="en-US"/>
              </w:rPr>
              <w:t>991</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E7B553" w14:textId="193C4610" w:rsidR="00FB12AE" w:rsidRPr="00B051C3" w:rsidRDefault="00877105"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1.194</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23FC15" w14:textId="77777777" w:rsidR="00FB12AE" w:rsidRPr="00B051C3"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p>
        </w:tc>
      </w:tr>
      <w:tr w:rsidR="00FB12AE" w:rsidRPr="00B051C3" w14:paraId="7A1B1C4F" w14:textId="77777777" w:rsidTr="00FB1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40046410" w14:textId="77777777" w:rsidR="00FB12AE" w:rsidRPr="00B051C3" w:rsidRDefault="00FB12AE" w:rsidP="00FB12AE">
            <w:pPr>
              <w:spacing w:after="255"/>
              <w:contextualSpacing/>
              <w:rPr>
                <w:sz w:val="16"/>
                <w:lang w:val="en-US"/>
              </w:rPr>
            </w:pPr>
            <w:proofErr w:type="spellStart"/>
            <w:r w:rsidRPr="00B051C3">
              <w:rPr>
                <w:sz w:val="16"/>
                <w:lang w:val="en-US"/>
              </w:rPr>
              <w:t>Budgetteret</w:t>
            </w:r>
            <w:proofErr w:type="spellEnd"/>
            <w:r w:rsidRPr="00B051C3">
              <w:rPr>
                <w:sz w:val="16"/>
                <w:lang w:val="en-US"/>
              </w:rPr>
              <w:t xml:space="preserve"> </w:t>
            </w:r>
            <w:proofErr w:type="spellStart"/>
            <w:r w:rsidRPr="00B051C3">
              <w:rPr>
                <w:sz w:val="16"/>
                <w:lang w:val="en-US"/>
              </w:rPr>
              <w:t>belægning</w:t>
            </w:r>
            <w:proofErr w:type="spellEnd"/>
            <w:r w:rsidRPr="00B051C3">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37F8A37" w14:textId="059122A3" w:rsidR="00FB12AE" w:rsidRPr="00B051C3" w:rsidRDefault="00FB12AE"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B051C3">
              <w:rPr>
                <w:sz w:val="16"/>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E60FA2" w14:textId="7E82C62E" w:rsidR="00FB12AE" w:rsidRPr="00B051C3"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B051C3">
              <w:rPr>
                <w:sz w:val="16"/>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F2A7C5" w14:textId="79F9D0F6" w:rsidR="00FB12AE" w:rsidRPr="00B051C3"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B051C3">
              <w:rPr>
                <w:sz w:val="16"/>
                <w:lang w:val="en-US"/>
              </w:rPr>
              <w:t>95,0%</w:t>
            </w:r>
          </w:p>
        </w:tc>
      </w:tr>
      <w:tr w:rsidR="00FB12AE" w:rsidRPr="00B051C3" w14:paraId="5508B6A0" w14:textId="77777777" w:rsidTr="00FB12AE">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right w:val="single" w:sz="4" w:space="0" w:color="FFFFFF" w:themeColor="background1"/>
            </w:tcBorders>
            <w:hideMark/>
          </w:tcPr>
          <w:p w14:paraId="7D1A0AB1" w14:textId="77777777" w:rsidR="00FB12AE" w:rsidRPr="00B051C3" w:rsidRDefault="00FB12AE" w:rsidP="00FB12AE">
            <w:pPr>
              <w:spacing w:after="255"/>
              <w:contextualSpacing/>
              <w:rPr>
                <w:sz w:val="16"/>
                <w:lang w:val="en-US"/>
              </w:rPr>
            </w:pPr>
            <w:proofErr w:type="spellStart"/>
            <w:r w:rsidRPr="00B051C3">
              <w:rPr>
                <w:sz w:val="16"/>
                <w:lang w:val="en-US"/>
              </w:rPr>
              <w:t>Realiseret</w:t>
            </w:r>
            <w:proofErr w:type="spellEnd"/>
            <w:r w:rsidRPr="00B051C3">
              <w:rPr>
                <w:sz w:val="16"/>
                <w:lang w:val="en-US"/>
              </w:rPr>
              <w:t xml:space="preserve"> </w:t>
            </w:r>
            <w:proofErr w:type="spellStart"/>
            <w:r w:rsidRPr="00B051C3">
              <w:rPr>
                <w:sz w:val="16"/>
                <w:lang w:val="en-US"/>
              </w:rPr>
              <w:t>belægning</w:t>
            </w:r>
            <w:proofErr w:type="spellEnd"/>
            <w:r w:rsidRPr="00B051C3">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B191C36" w14:textId="6034CA28" w:rsidR="00FB12AE" w:rsidRPr="00B051C3"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sidRPr="00B051C3">
              <w:rPr>
                <w:sz w:val="16"/>
                <w:lang w:val="en-US"/>
              </w:rPr>
              <w:t>103,2%</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5C43D2" w14:textId="6B943D0C" w:rsidR="00FB12AE" w:rsidRPr="00B051C3" w:rsidRDefault="00877105"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124,4%</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A2A10A" w14:textId="77777777" w:rsidR="00FB12AE" w:rsidRPr="00B051C3"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p>
        </w:tc>
      </w:tr>
    </w:tbl>
    <w:p w14:paraId="7747EA29" w14:textId="22249B71" w:rsidR="006A1419" w:rsidRPr="00B051C3" w:rsidRDefault="00655475" w:rsidP="00655475">
      <w:pPr>
        <w:pStyle w:val="DagsordenReferat-Opstilling"/>
        <w:numPr>
          <w:ilvl w:val="0"/>
          <w:numId w:val="0"/>
        </w:numPr>
        <w:rPr>
          <w:b w:val="0"/>
          <w:bCs/>
          <w:color w:val="auto"/>
          <w:sz w:val="18"/>
        </w:rPr>
      </w:pPr>
      <w:r w:rsidRPr="00B051C3">
        <w:rPr>
          <w:b w:val="0"/>
          <w:bCs/>
          <w:color w:val="auto"/>
          <w:sz w:val="18"/>
        </w:rPr>
        <w:t>Ydelse 2D vedrører optikerydelser til børn og voksne med medicinsk-optisk definerede øjenlidelser. Antallet af borgere har ligget lidt over det budgetterede niveau</w:t>
      </w:r>
      <w:r w:rsidR="00CF32C9">
        <w:rPr>
          <w:b w:val="0"/>
          <w:bCs/>
          <w:color w:val="auto"/>
          <w:sz w:val="18"/>
        </w:rPr>
        <w:t>.</w:t>
      </w:r>
      <w:r w:rsidR="00716441">
        <w:rPr>
          <w:b w:val="0"/>
          <w:bCs/>
          <w:color w:val="auto"/>
          <w:sz w:val="18"/>
        </w:rPr>
        <w:t xml:space="preserve"> </w:t>
      </w:r>
      <w:r w:rsidR="004F6A28">
        <w:rPr>
          <w:b w:val="0"/>
          <w:bCs/>
          <w:color w:val="auto"/>
          <w:sz w:val="18"/>
        </w:rPr>
        <w:t>Kapacitet og realiseret aktivitet er opgjort i timer.</w:t>
      </w:r>
    </w:p>
    <w:tbl>
      <w:tblPr>
        <w:tblStyle w:val="Gittertabel5-mrk-farve2"/>
        <w:tblW w:w="0" w:type="auto"/>
        <w:tblLook w:val="04A0" w:firstRow="1" w:lastRow="0" w:firstColumn="1" w:lastColumn="0" w:noHBand="0" w:noVBand="1"/>
      </w:tblPr>
      <w:tblGrid>
        <w:gridCol w:w="3085"/>
        <w:gridCol w:w="2042"/>
        <w:gridCol w:w="2042"/>
        <w:gridCol w:w="2042"/>
      </w:tblGrid>
      <w:tr w:rsidR="00FB12AE" w:rsidRPr="00B051C3" w14:paraId="30AA3F2D" w14:textId="77777777" w:rsidTr="006A1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FFFFFF" w:themeColor="background1"/>
            </w:tcBorders>
            <w:hideMark/>
          </w:tcPr>
          <w:p w14:paraId="10031832" w14:textId="77777777" w:rsidR="00FB12AE" w:rsidRPr="00B051C3" w:rsidRDefault="00FB12AE" w:rsidP="00FB12AE">
            <w:pPr>
              <w:spacing w:after="255"/>
              <w:contextualSpacing/>
              <w:rPr>
                <w:sz w:val="16"/>
                <w:lang w:val="en-US"/>
              </w:rPr>
            </w:pPr>
            <w:r w:rsidRPr="00B051C3">
              <w:rPr>
                <w:sz w:val="16"/>
                <w:lang w:val="en-US"/>
              </w:rPr>
              <w:t xml:space="preserve">2E </w:t>
            </w:r>
            <w:proofErr w:type="spellStart"/>
            <w:r w:rsidRPr="00B051C3">
              <w:rPr>
                <w:sz w:val="16"/>
                <w:lang w:val="en-US"/>
              </w:rPr>
              <w:t>Høreområdet</w:t>
            </w:r>
            <w:proofErr w:type="spellEnd"/>
            <w:r w:rsidRPr="00B051C3">
              <w:rPr>
                <w:sz w:val="16"/>
                <w:lang w:val="en-US"/>
              </w:rPr>
              <w:t xml:space="preserve"> – </w:t>
            </w:r>
            <w:proofErr w:type="spellStart"/>
            <w:r w:rsidRPr="00B051C3">
              <w:rPr>
                <w:sz w:val="16"/>
                <w:lang w:val="en-US"/>
              </w:rPr>
              <w:t>Undervisningsforløb</w:t>
            </w:r>
            <w:proofErr w:type="spellEnd"/>
          </w:p>
        </w:tc>
        <w:tc>
          <w:tcPr>
            <w:tcW w:w="2042" w:type="dxa"/>
            <w:tcBorders>
              <w:bottom w:val="single" w:sz="4" w:space="0" w:color="FFFFFF" w:themeColor="background1"/>
            </w:tcBorders>
            <w:hideMark/>
          </w:tcPr>
          <w:p w14:paraId="61C3F82D" w14:textId="6D45490A" w:rsidR="00FB12AE" w:rsidRPr="00B051C3"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2021</w:t>
            </w:r>
          </w:p>
        </w:tc>
        <w:tc>
          <w:tcPr>
            <w:tcW w:w="2042" w:type="dxa"/>
            <w:tcBorders>
              <w:bottom w:val="single" w:sz="4" w:space="0" w:color="FFFFFF" w:themeColor="background1"/>
            </w:tcBorders>
            <w:hideMark/>
          </w:tcPr>
          <w:p w14:paraId="3614B129" w14:textId="7D9C6E3F" w:rsidR="00FB12AE" w:rsidRPr="00B051C3"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2022</w:t>
            </w:r>
          </w:p>
        </w:tc>
        <w:tc>
          <w:tcPr>
            <w:tcW w:w="2042" w:type="dxa"/>
            <w:tcBorders>
              <w:bottom w:val="single" w:sz="4" w:space="0" w:color="FFFFFF" w:themeColor="background1"/>
            </w:tcBorders>
            <w:hideMark/>
          </w:tcPr>
          <w:p w14:paraId="4A378D72" w14:textId="62983E54" w:rsidR="00FB12AE" w:rsidRPr="00B051C3"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sidRPr="00B051C3">
              <w:rPr>
                <w:sz w:val="16"/>
                <w:lang w:val="en-US"/>
              </w:rPr>
              <w:t>202</w:t>
            </w:r>
            <w:r>
              <w:rPr>
                <w:sz w:val="16"/>
                <w:lang w:val="en-US"/>
              </w:rPr>
              <w:t>3</w:t>
            </w:r>
          </w:p>
          <w:p w14:paraId="0F89B325" w14:textId="503A239B" w:rsidR="00FB12AE" w:rsidRPr="00B051C3"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sidRPr="00B051C3">
              <w:rPr>
                <w:sz w:val="16"/>
                <w:lang w:val="en-US"/>
              </w:rPr>
              <w:t>(</w:t>
            </w:r>
            <w:proofErr w:type="spellStart"/>
            <w:r w:rsidRPr="00B051C3">
              <w:rPr>
                <w:sz w:val="16"/>
                <w:lang w:val="en-US"/>
              </w:rPr>
              <w:t>forventet</w:t>
            </w:r>
            <w:proofErr w:type="spellEnd"/>
            <w:r w:rsidRPr="00B051C3">
              <w:rPr>
                <w:sz w:val="16"/>
                <w:lang w:val="en-US"/>
              </w:rPr>
              <w:t>)</w:t>
            </w:r>
          </w:p>
        </w:tc>
      </w:tr>
      <w:tr w:rsidR="00FB12AE" w:rsidRPr="00B051C3" w14:paraId="331DBDFC" w14:textId="77777777" w:rsidTr="00FB1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0E4665B0" w14:textId="77777777" w:rsidR="00FB12AE" w:rsidRPr="00B051C3" w:rsidRDefault="00FB12AE" w:rsidP="00FB12AE">
            <w:pPr>
              <w:spacing w:after="255"/>
              <w:contextualSpacing/>
              <w:rPr>
                <w:sz w:val="16"/>
                <w:lang w:val="en-US"/>
              </w:rPr>
            </w:pPr>
            <w:proofErr w:type="spellStart"/>
            <w:r w:rsidRPr="00B051C3">
              <w:rPr>
                <w:sz w:val="16"/>
                <w:lang w:val="en-US"/>
              </w:rPr>
              <w:t>Kapacitet</w:t>
            </w:r>
            <w:proofErr w:type="spellEnd"/>
            <w:r w:rsidRPr="00B051C3">
              <w:rPr>
                <w:sz w:val="16"/>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DB7B73A" w14:textId="2B18C627" w:rsidR="00FB12AE" w:rsidRPr="00B051C3" w:rsidRDefault="00FB12AE"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B051C3">
              <w:rPr>
                <w:sz w:val="16"/>
                <w:lang w:val="en-US"/>
              </w:rPr>
              <w:t>1.027</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CFEF1" w14:textId="4C3C4EBC" w:rsidR="00FB12AE" w:rsidRPr="00B051C3"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B051C3">
              <w:rPr>
                <w:sz w:val="16"/>
                <w:lang w:val="en-US"/>
              </w:rPr>
              <w:t>1.027</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CD3958" w14:textId="40A5601B" w:rsidR="00FB12AE" w:rsidRPr="00B051C3"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sz w:val="16"/>
                <w:lang w:val="en-US"/>
              </w:rPr>
            </w:pPr>
            <w:r w:rsidRPr="00B051C3">
              <w:rPr>
                <w:sz w:val="16"/>
                <w:lang w:val="en-US"/>
              </w:rPr>
              <w:t>1.027</w:t>
            </w:r>
          </w:p>
        </w:tc>
      </w:tr>
      <w:tr w:rsidR="00FB12AE" w:rsidRPr="00B051C3" w14:paraId="2B52BEAC" w14:textId="77777777" w:rsidTr="00FB12AE">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170E3E4C" w14:textId="77777777" w:rsidR="00FB12AE" w:rsidRPr="00B051C3" w:rsidRDefault="00FB12AE" w:rsidP="00FB12AE">
            <w:pPr>
              <w:spacing w:after="255"/>
              <w:contextualSpacing/>
              <w:rPr>
                <w:sz w:val="16"/>
                <w:lang w:val="en-US"/>
              </w:rPr>
            </w:pPr>
            <w:proofErr w:type="spellStart"/>
            <w:r w:rsidRPr="00B051C3">
              <w:rPr>
                <w:sz w:val="16"/>
                <w:lang w:val="en-US"/>
              </w:rPr>
              <w:t>Realiseret</w:t>
            </w:r>
            <w:proofErr w:type="spellEnd"/>
            <w:r w:rsidRPr="00B051C3">
              <w:rPr>
                <w:sz w:val="16"/>
                <w:lang w:val="en-US"/>
              </w:rPr>
              <w:t xml:space="preserve"> </w:t>
            </w:r>
            <w:proofErr w:type="spellStart"/>
            <w:r w:rsidRPr="00B051C3">
              <w:rPr>
                <w:sz w:val="16"/>
                <w:lang w:val="en-US"/>
              </w:rPr>
              <w:t>aktivitet</w:t>
            </w:r>
            <w:proofErr w:type="spellEnd"/>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878A39B" w14:textId="10AECC5E" w:rsidR="00FB12AE" w:rsidRPr="00B051C3"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sidRPr="00B051C3">
              <w:rPr>
                <w:sz w:val="16"/>
                <w:lang w:val="en-US"/>
              </w:rPr>
              <w:t>439</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293B69" w14:textId="1483C5D0" w:rsidR="00FB12AE" w:rsidRPr="00B051C3" w:rsidRDefault="00877105"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r>
              <w:rPr>
                <w:sz w:val="16"/>
                <w:lang w:val="en-US"/>
              </w:rPr>
              <w:t>317</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D91DA3" w14:textId="77777777" w:rsidR="00FB12AE" w:rsidRPr="00B051C3"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sz w:val="16"/>
                <w:lang w:val="en-US"/>
              </w:rPr>
            </w:pPr>
          </w:p>
        </w:tc>
      </w:tr>
      <w:tr w:rsidR="00FB12AE" w:rsidRPr="00B051C3" w14:paraId="24A837AC" w14:textId="77777777" w:rsidTr="00FB1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bottom w:val="single" w:sz="4" w:space="0" w:color="FFFFFF" w:themeColor="background1"/>
              <w:right w:val="single" w:sz="4" w:space="0" w:color="FFFFFF" w:themeColor="background1"/>
            </w:tcBorders>
            <w:hideMark/>
          </w:tcPr>
          <w:p w14:paraId="206998C3" w14:textId="77777777" w:rsidR="00FB12AE" w:rsidRPr="00B051C3" w:rsidRDefault="00FB12AE" w:rsidP="00FB12AE">
            <w:pPr>
              <w:spacing w:after="255"/>
              <w:contextualSpacing/>
              <w:rPr>
                <w:lang w:val="en-US"/>
              </w:rPr>
            </w:pPr>
            <w:proofErr w:type="spellStart"/>
            <w:r w:rsidRPr="00B051C3">
              <w:rPr>
                <w:lang w:val="en-US"/>
              </w:rPr>
              <w:t>Budgetteret</w:t>
            </w:r>
            <w:proofErr w:type="spellEnd"/>
            <w:r w:rsidRPr="00B051C3">
              <w:rPr>
                <w:lang w:val="en-US"/>
              </w:rPr>
              <w:t xml:space="preserve"> </w:t>
            </w:r>
            <w:proofErr w:type="spellStart"/>
            <w:r w:rsidRPr="00B051C3">
              <w:rPr>
                <w:lang w:val="en-US"/>
              </w:rPr>
              <w:t>belægning</w:t>
            </w:r>
            <w:proofErr w:type="spellEnd"/>
            <w:r w:rsidRPr="00B051C3">
              <w:rPr>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E16473C" w14:textId="4AF9D57B" w:rsidR="00FB12AE" w:rsidRPr="00B051C3" w:rsidRDefault="00FB12AE"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lang w:val="en-US"/>
              </w:rPr>
            </w:pPr>
            <w:r w:rsidRPr="00B051C3">
              <w:rPr>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B78CD6" w14:textId="0D08FB09" w:rsidR="00FB12AE" w:rsidRPr="00B051C3"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lang w:val="en-US"/>
              </w:rPr>
            </w:pPr>
            <w:r w:rsidRPr="00B051C3">
              <w:rPr>
                <w:lang w:val="en-US"/>
              </w:rPr>
              <w:t>95,0%</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A29E86" w14:textId="2C9332E8" w:rsidR="00FB12AE" w:rsidRPr="00B051C3" w:rsidRDefault="00877105" w:rsidP="00FB12AE">
            <w:pPr>
              <w:spacing w:after="255"/>
              <w:contextualSpacing/>
              <w:jc w:val="right"/>
              <w:cnfStyle w:val="000000100000" w:firstRow="0" w:lastRow="0" w:firstColumn="0" w:lastColumn="0" w:oddVBand="0" w:evenVBand="0" w:oddHBand="1" w:evenHBand="0" w:firstRowFirstColumn="0" w:firstRowLastColumn="0" w:lastRowFirstColumn="0" w:lastRowLastColumn="0"/>
              <w:rPr>
                <w:lang w:val="en-US"/>
              </w:rPr>
            </w:pPr>
            <w:r w:rsidRPr="00B051C3">
              <w:rPr>
                <w:lang w:val="en-US"/>
              </w:rPr>
              <w:t>95,0%</w:t>
            </w:r>
          </w:p>
        </w:tc>
      </w:tr>
      <w:tr w:rsidR="00FB12AE" w:rsidRPr="00B051C3" w14:paraId="40DF414E" w14:textId="77777777" w:rsidTr="00FB12AE">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FFFFFF" w:themeColor="background1"/>
              <w:right w:val="single" w:sz="4" w:space="0" w:color="FFFFFF" w:themeColor="background1"/>
            </w:tcBorders>
            <w:hideMark/>
          </w:tcPr>
          <w:p w14:paraId="646C95C7" w14:textId="77777777" w:rsidR="00FB12AE" w:rsidRPr="00B051C3" w:rsidRDefault="00FB12AE" w:rsidP="00FB12AE">
            <w:pPr>
              <w:spacing w:after="255"/>
              <w:contextualSpacing/>
              <w:rPr>
                <w:lang w:val="en-US"/>
              </w:rPr>
            </w:pPr>
            <w:proofErr w:type="spellStart"/>
            <w:r w:rsidRPr="00B051C3">
              <w:rPr>
                <w:lang w:val="en-US"/>
              </w:rPr>
              <w:t>Realiseret</w:t>
            </w:r>
            <w:proofErr w:type="spellEnd"/>
            <w:r w:rsidRPr="00B051C3">
              <w:rPr>
                <w:lang w:val="en-US"/>
              </w:rPr>
              <w:t xml:space="preserve"> </w:t>
            </w:r>
            <w:proofErr w:type="spellStart"/>
            <w:r w:rsidRPr="00B051C3">
              <w:rPr>
                <w:lang w:val="en-US"/>
              </w:rPr>
              <w:t>belægning</w:t>
            </w:r>
            <w:proofErr w:type="spellEnd"/>
            <w:r w:rsidRPr="00B051C3">
              <w:rPr>
                <w:lang w:val="en-US"/>
              </w:rPr>
              <w:t xml:space="preserve"> (%)</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4BADA65" w14:textId="577FF55D" w:rsidR="00FB12AE" w:rsidRPr="00B051C3"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lang w:val="en-US"/>
              </w:rPr>
            </w:pPr>
            <w:r w:rsidRPr="00B051C3">
              <w:rPr>
                <w:lang w:val="en-US"/>
              </w:rPr>
              <w:t>42,7%</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592C21" w14:textId="5B9AD197" w:rsidR="00FB12AE" w:rsidRPr="00B051C3" w:rsidRDefault="00877105" w:rsidP="00877105">
            <w:pPr>
              <w:spacing w:after="255"/>
              <w:contextualSpacing/>
              <w:jc w:val="right"/>
              <w:cnfStyle w:val="000000000000" w:firstRow="0" w:lastRow="0" w:firstColumn="0" w:lastColumn="0" w:oddVBand="0" w:evenVBand="0" w:oddHBand="0" w:evenHBand="0" w:firstRowFirstColumn="0" w:firstRowLastColumn="0" w:lastRowFirstColumn="0" w:lastRowLastColumn="0"/>
              <w:rPr>
                <w:lang w:val="en-US"/>
              </w:rPr>
            </w:pPr>
            <w:r>
              <w:rPr>
                <w:lang w:val="en-US"/>
              </w:rPr>
              <w:t>30,9%</w:t>
            </w:r>
          </w:p>
        </w:tc>
        <w:tc>
          <w:tcPr>
            <w:tcW w:w="20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FEED38" w14:textId="77777777" w:rsidR="00FB12AE" w:rsidRPr="00B051C3" w:rsidRDefault="00FB12AE" w:rsidP="00FB12AE">
            <w:pPr>
              <w:spacing w:after="255"/>
              <w:contextualSpacing/>
              <w:jc w:val="right"/>
              <w:cnfStyle w:val="000000000000" w:firstRow="0" w:lastRow="0" w:firstColumn="0" w:lastColumn="0" w:oddVBand="0" w:evenVBand="0" w:oddHBand="0" w:evenHBand="0" w:firstRowFirstColumn="0" w:firstRowLastColumn="0" w:lastRowFirstColumn="0" w:lastRowLastColumn="0"/>
              <w:rPr>
                <w:lang w:val="en-US"/>
              </w:rPr>
            </w:pPr>
          </w:p>
        </w:tc>
      </w:tr>
    </w:tbl>
    <w:p w14:paraId="239DC9FB" w14:textId="7716F3E0" w:rsidR="006A1419" w:rsidRPr="00FA407B" w:rsidRDefault="00655475" w:rsidP="00FA407B">
      <w:pPr>
        <w:pStyle w:val="DagsordenReferat-Opstilling"/>
        <w:numPr>
          <w:ilvl w:val="0"/>
          <w:numId w:val="0"/>
        </w:numPr>
        <w:rPr>
          <w:b w:val="0"/>
          <w:bCs/>
          <w:color w:val="auto"/>
          <w:sz w:val="18"/>
        </w:rPr>
      </w:pPr>
      <w:r w:rsidRPr="00B051C3">
        <w:rPr>
          <w:b w:val="0"/>
          <w:bCs/>
          <w:color w:val="auto"/>
          <w:sz w:val="18"/>
        </w:rPr>
        <w:t xml:space="preserve">Ydelse 2E vedrører undervisningsforløb på hold eller individuelt. </w:t>
      </w:r>
      <w:r w:rsidR="004F6A28">
        <w:rPr>
          <w:b w:val="0"/>
          <w:bCs/>
          <w:color w:val="auto"/>
          <w:sz w:val="18"/>
        </w:rPr>
        <w:t>Kapacitet og realiseret aktivitet er opgjort i timer.</w:t>
      </w:r>
    </w:p>
    <w:tbl>
      <w:tblPr>
        <w:tblStyle w:val="Gittertabel5-mrk-farve2"/>
        <w:tblW w:w="0" w:type="auto"/>
        <w:tblLook w:val="04A0" w:firstRow="1" w:lastRow="0" w:firstColumn="1" w:lastColumn="0" w:noHBand="0" w:noVBand="1"/>
      </w:tblPr>
      <w:tblGrid>
        <w:gridCol w:w="3085"/>
        <w:gridCol w:w="2042"/>
        <w:gridCol w:w="2042"/>
        <w:gridCol w:w="2042"/>
      </w:tblGrid>
      <w:tr w:rsidR="00FB12AE" w:rsidRPr="0017384C" w14:paraId="46E71EB1" w14:textId="77777777" w:rsidTr="00DD41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4516740" w14:textId="77777777" w:rsidR="00FB12AE" w:rsidRPr="0017384C" w:rsidRDefault="00FB12AE" w:rsidP="00FB12AE">
            <w:pPr>
              <w:contextualSpacing/>
              <w:rPr>
                <w:sz w:val="16"/>
              </w:rPr>
            </w:pPr>
            <w:r w:rsidRPr="0017384C">
              <w:rPr>
                <w:sz w:val="16"/>
              </w:rPr>
              <w:t>3A Optik og IT Hjælpemidler</w:t>
            </w:r>
          </w:p>
        </w:tc>
        <w:tc>
          <w:tcPr>
            <w:tcW w:w="2042" w:type="dxa"/>
          </w:tcPr>
          <w:p w14:paraId="71F2F9C2" w14:textId="2AE0E37B" w:rsidR="00FB12AE" w:rsidRPr="0017384C" w:rsidRDefault="00FB12AE" w:rsidP="00FB12AE">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2021</w:t>
            </w:r>
          </w:p>
        </w:tc>
        <w:tc>
          <w:tcPr>
            <w:tcW w:w="2042" w:type="dxa"/>
          </w:tcPr>
          <w:p w14:paraId="11647CE4" w14:textId="28F2B962" w:rsidR="00FB12AE" w:rsidRPr="0017384C" w:rsidRDefault="00FB12AE" w:rsidP="00FB12AE">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2022</w:t>
            </w:r>
          </w:p>
        </w:tc>
        <w:tc>
          <w:tcPr>
            <w:tcW w:w="2042" w:type="dxa"/>
          </w:tcPr>
          <w:p w14:paraId="580D4C00" w14:textId="51B69670"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2023</w:t>
            </w:r>
          </w:p>
          <w:p w14:paraId="4F27DA1B" w14:textId="11296FB3" w:rsidR="00FB12AE" w:rsidRPr="0017384C" w:rsidRDefault="00FB12AE" w:rsidP="00FB12AE">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w:t>
            </w:r>
            <w:proofErr w:type="spellStart"/>
            <w:r>
              <w:rPr>
                <w:sz w:val="16"/>
                <w:lang w:val="en-US"/>
              </w:rPr>
              <w:t>forventet</w:t>
            </w:r>
            <w:proofErr w:type="spellEnd"/>
            <w:r>
              <w:rPr>
                <w:sz w:val="16"/>
                <w:lang w:val="en-US"/>
              </w:rPr>
              <w:t>)</w:t>
            </w:r>
          </w:p>
        </w:tc>
      </w:tr>
      <w:tr w:rsidR="001D29AB" w:rsidRPr="0017384C" w14:paraId="051112A3" w14:textId="77777777" w:rsidTr="00DD4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B9140D2" w14:textId="77777777" w:rsidR="001D29AB" w:rsidRPr="0017384C" w:rsidRDefault="001D29AB" w:rsidP="00DD4107">
            <w:pPr>
              <w:contextualSpacing/>
              <w:rPr>
                <w:sz w:val="16"/>
              </w:rPr>
            </w:pPr>
            <w:r w:rsidRPr="0017384C">
              <w:rPr>
                <w:sz w:val="16"/>
              </w:rPr>
              <w:t>Betalende kommuner</w:t>
            </w:r>
          </w:p>
        </w:tc>
        <w:tc>
          <w:tcPr>
            <w:tcW w:w="2042" w:type="dxa"/>
          </w:tcPr>
          <w:p w14:paraId="7E708DEE" w14:textId="77777777" w:rsidR="001D29AB" w:rsidRPr="0017384C" w:rsidRDefault="001D29AB" w:rsidP="00DD4107">
            <w:pPr>
              <w:contextualSpacing/>
              <w:jc w:val="right"/>
              <w:cnfStyle w:val="000000100000" w:firstRow="0" w:lastRow="0" w:firstColumn="0" w:lastColumn="0" w:oddVBand="0" w:evenVBand="0" w:oddHBand="1" w:evenHBand="0" w:firstRowFirstColumn="0" w:firstRowLastColumn="0" w:lastRowFirstColumn="0" w:lastRowLastColumn="0"/>
              <w:rPr>
                <w:sz w:val="16"/>
              </w:rPr>
            </w:pPr>
            <w:r w:rsidRPr="0017384C">
              <w:rPr>
                <w:sz w:val="16"/>
              </w:rPr>
              <w:t>11</w:t>
            </w:r>
          </w:p>
        </w:tc>
        <w:tc>
          <w:tcPr>
            <w:tcW w:w="2042" w:type="dxa"/>
          </w:tcPr>
          <w:p w14:paraId="3F01D4E7" w14:textId="72CEA917" w:rsidR="001D29AB" w:rsidRPr="0017384C" w:rsidRDefault="00877105" w:rsidP="00DD4107">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11</w:t>
            </w:r>
          </w:p>
        </w:tc>
        <w:tc>
          <w:tcPr>
            <w:tcW w:w="2042" w:type="dxa"/>
          </w:tcPr>
          <w:p w14:paraId="44517C0F" w14:textId="2CDBF40C" w:rsidR="001D29AB" w:rsidRPr="0017384C" w:rsidRDefault="00877105" w:rsidP="00DD4107">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11</w:t>
            </w:r>
          </w:p>
        </w:tc>
      </w:tr>
    </w:tbl>
    <w:p w14:paraId="7B0499C1" w14:textId="0296A9BF" w:rsidR="001D29AB" w:rsidRPr="0017384C" w:rsidRDefault="00845A57" w:rsidP="001D29AB">
      <w:r w:rsidRPr="0017384C">
        <w:t xml:space="preserve">Alle kommuner benytter sig af puljen til </w:t>
      </w:r>
      <w:r w:rsidR="001D29AB" w:rsidRPr="0017384C">
        <w:t>optik og IT</w:t>
      </w:r>
      <w:r w:rsidR="00877105">
        <w:t>-</w:t>
      </w:r>
      <w:r w:rsidR="001D29AB" w:rsidRPr="0017384C">
        <w:t>hjælpemidler</w:t>
      </w:r>
      <w:r>
        <w:t>.</w:t>
      </w:r>
    </w:p>
    <w:tbl>
      <w:tblPr>
        <w:tblStyle w:val="Gittertabel5-mrk-farve2"/>
        <w:tblW w:w="0" w:type="auto"/>
        <w:tblLook w:val="04A0" w:firstRow="1" w:lastRow="0" w:firstColumn="1" w:lastColumn="0" w:noHBand="0" w:noVBand="1"/>
      </w:tblPr>
      <w:tblGrid>
        <w:gridCol w:w="3085"/>
        <w:gridCol w:w="2042"/>
        <w:gridCol w:w="2042"/>
        <w:gridCol w:w="2042"/>
      </w:tblGrid>
      <w:tr w:rsidR="00FB12AE" w:rsidRPr="0017384C" w14:paraId="0EECF092" w14:textId="77777777" w:rsidTr="00DD41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A8B7732" w14:textId="77777777" w:rsidR="00FB12AE" w:rsidRPr="0017384C" w:rsidRDefault="00FB12AE" w:rsidP="00FB12AE">
            <w:pPr>
              <w:contextualSpacing/>
              <w:rPr>
                <w:sz w:val="16"/>
              </w:rPr>
            </w:pPr>
            <w:r w:rsidRPr="0017384C">
              <w:rPr>
                <w:sz w:val="16"/>
              </w:rPr>
              <w:t>3B Øvrige synshjælpemidler</w:t>
            </w:r>
          </w:p>
        </w:tc>
        <w:tc>
          <w:tcPr>
            <w:tcW w:w="2042" w:type="dxa"/>
          </w:tcPr>
          <w:p w14:paraId="5368C38E" w14:textId="26F3984A" w:rsidR="00FB12AE" w:rsidRPr="0017384C" w:rsidRDefault="00FB12AE" w:rsidP="00FB12AE">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2021</w:t>
            </w:r>
          </w:p>
        </w:tc>
        <w:tc>
          <w:tcPr>
            <w:tcW w:w="2042" w:type="dxa"/>
          </w:tcPr>
          <w:p w14:paraId="75230B4E" w14:textId="51A51907" w:rsidR="00FB12AE" w:rsidRPr="0017384C" w:rsidRDefault="00FB12AE" w:rsidP="00FB12AE">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2022</w:t>
            </w:r>
          </w:p>
        </w:tc>
        <w:tc>
          <w:tcPr>
            <w:tcW w:w="2042" w:type="dxa"/>
          </w:tcPr>
          <w:p w14:paraId="610586A1" w14:textId="479B970C"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2023</w:t>
            </w:r>
          </w:p>
          <w:p w14:paraId="2755500E" w14:textId="2C0AA867" w:rsidR="00FB12AE" w:rsidRPr="0017384C" w:rsidRDefault="00FB12AE" w:rsidP="00FB12AE">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w:t>
            </w:r>
            <w:proofErr w:type="spellStart"/>
            <w:r>
              <w:rPr>
                <w:sz w:val="16"/>
                <w:lang w:val="en-US"/>
              </w:rPr>
              <w:t>forventet</w:t>
            </w:r>
            <w:proofErr w:type="spellEnd"/>
            <w:r>
              <w:rPr>
                <w:sz w:val="16"/>
                <w:lang w:val="en-US"/>
              </w:rPr>
              <w:t>)</w:t>
            </w:r>
          </w:p>
        </w:tc>
      </w:tr>
      <w:tr w:rsidR="001D29AB" w:rsidRPr="0017384C" w14:paraId="1D25AE57" w14:textId="77777777" w:rsidTr="00DD4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2D5CF75" w14:textId="77777777" w:rsidR="001D29AB" w:rsidRPr="0017384C" w:rsidRDefault="001D29AB" w:rsidP="00DD4107">
            <w:pPr>
              <w:contextualSpacing/>
              <w:rPr>
                <w:sz w:val="16"/>
              </w:rPr>
            </w:pPr>
            <w:r w:rsidRPr="0017384C">
              <w:rPr>
                <w:sz w:val="16"/>
              </w:rPr>
              <w:t>Betalende kommuner</w:t>
            </w:r>
          </w:p>
        </w:tc>
        <w:tc>
          <w:tcPr>
            <w:tcW w:w="2042" w:type="dxa"/>
          </w:tcPr>
          <w:p w14:paraId="4F847ABE" w14:textId="77777777" w:rsidR="001D29AB" w:rsidRPr="0017384C" w:rsidRDefault="001D29AB" w:rsidP="00DD4107">
            <w:pPr>
              <w:contextualSpacing/>
              <w:jc w:val="right"/>
              <w:cnfStyle w:val="000000100000" w:firstRow="0" w:lastRow="0" w:firstColumn="0" w:lastColumn="0" w:oddVBand="0" w:evenVBand="0" w:oddHBand="1" w:evenHBand="0" w:firstRowFirstColumn="0" w:firstRowLastColumn="0" w:lastRowFirstColumn="0" w:lastRowLastColumn="0"/>
              <w:rPr>
                <w:sz w:val="16"/>
              </w:rPr>
            </w:pPr>
            <w:r w:rsidRPr="0017384C">
              <w:rPr>
                <w:sz w:val="16"/>
              </w:rPr>
              <w:t>9</w:t>
            </w:r>
          </w:p>
        </w:tc>
        <w:tc>
          <w:tcPr>
            <w:tcW w:w="2042" w:type="dxa"/>
          </w:tcPr>
          <w:p w14:paraId="2865B08E" w14:textId="0D2E2C88" w:rsidR="001D29AB" w:rsidRPr="0017384C" w:rsidRDefault="00877105" w:rsidP="00DD4107">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9</w:t>
            </w:r>
          </w:p>
        </w:tc>
        <w:tc>
          <w:tcPr>
            <w:tcW w:w="2042" w:type="dxa"/>
          </w:tcPr>
          <w:p w14:paraId="6032EFC8" w14:textId="2215A937" w:rsidR="001D29AB" w:rsidRPr="0017384C" w:rsidRDefault="00877105" w:rsidP="00DD4107">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11</w:t>
            </w:r>
          </w:p>
        </w:tc>
      </w:tr>
    </w:tbl>
    <w:p w14:paraId="499DFB8C" w14:textId="77777777" w:rsidR="001D29AB" w:rsidRPr="0017384C" w:rsidRDefault="001D29AB" w:rsidP="001D29AB">
      <w:r w:rsidRPr="0017384C">
        <w:t>Alle kommuner bortset fra Hjørring og Aalborg kommuner benytter sig af hjælpemiddelpuljen til øvrige synshjælpemidler.</w:t>
      </w:r>
    </w:p>
    <w:tbl>
      <w:tblPr>
        <w:tblStyle w:val="Gittertabel5-mrk-farve2"/>
        <w:tblW w:w="0" w:type="auto"/>
        <w:tblLook w:val="04A0" w:firstRow="1" w:lastRow="0" w:firstColumn="1" w:lastColumn="0" w:noHBand="0" w:noVBand="1"/>
      </w:tblPr>
      <w:tblGrid>
        <w:gridCol w:w="3085"/>
        <w:gridCol w:w="2042"/>
        <w:gridCol w:w="2042"/>
        <w:gridCol w:w="2042"/>
      </w:tblGrid>
      <w:tr w:rsidR="00FB12AE" w:rsidRPr="0017384C" w14:paraId="0BD2A6C1" w14:textId="77777777" w:rsidTr="00DD41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4CC80FB0" w14:textId="77777777" w:rsidR="00FB12AE" w:rsidRPr="0017384C" w:rsidRDefault="00FB12AE" w:rsidP="00FB12AE">
            <w:pPr>
              <w:contextualSpacing/>
              <w:rPr>
                <w:sz w:val="16"/>
              </w:rPr>
            </w:pPr>
            <w:r w:rsidRPr="0017384C">
              <w:rPr>
                <w:sz w:val="16"/>
              </w:rPr>
              <w:t>3C Undervisningshjælpemidler</w:t>
            </w:r>
          </w:p>
        </w:tc>
        <w:tc>
          <w:tcPr>
            <w:tcW w:w="2042" w:type="dxa"/>
          </w:tcPr>
          <w:p w14:paraId="320EA702" w14:textId="54125744" w:rsidR="00FB12AE" w:rsidRPr="0017384C" w:rsidRDefault="00FB12AE" w:rsidP="00FB12AE">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2021</w:t>
            </w:r>
          </w:p>
        </w:tc>
        <w:tc>
          <w:tcPr>
            <w:tcW w:w="2042" w:type="dxa"/>
          </w:tcPr>
          <w:p w14:paraId="7729C9EB" w14:textId="54586EC3" w:rsidR="00FB12AE" w:rsidRPr="0017384C" w:rsidRDefault="00FB12AE" w:rsidP="00FB12AE">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2022</w:t>
            </w:r>
          </w:p>
        </w:tc>
        <w:tc>
          <w:tcPr>
            <w:tcW w:w="2042" w:type="dxa"/>
          </w:tcPr>
          <w:p w14:paraId="1C84E4B2" w14:textId="7969B884" w:rsidR="00FB12AE" w:rsidRDefault="00FB12AE" w:rsidP="00FB12AE">
            <w:pPr>
              <w:spacing w:after="255"/>
              <w:contextualSpacing/>
              <w:jc w:val="center"/>
              <w:cnfStyle w:val="100000000000" w:firstRow="1" w:lastRow="0" w:firstColumn="0" w:lastColumn="0" w:oddVBand="0" w:evenVBand="0" w:oddHBand="0" w:evenHBand="0" w:firstRowFirstColumn="0" w:firstRowLastColumn="0" w:lastRowFirstColumn="0" w:lastRowLastColumn="0"/>
              <w:rPr>
                <w:sz w:val="16"/>
                <w:lang w:val="en-US"/>
              </w:rPr>
            </w:pPr>
            <w:r>
              <w:rPr>
                <w:sz w:val="16"/>
                <w:lang w:val="en-US"/>
              </w:rPr>
              <w:t>2023</w:t>
            </w:r>
          </w:p>
          <w:p w14:paraId="0582F3E1" w14:textId="3146490C" w:rsidR="00FB12AE" w:rsidRPr="0017384C" w:rsidRDefault="00FB12AE" w:rsidP="00FB12AE">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w:t>
            </w:r>
            <w:proofErr w:type="spellStart"/>
            <w:r>
              <w:rPr>
                <w:sz w:val="16"/>
                <w:lang w:val="en-US"/>
              </w:rPr>
              <w:t>forventet</w:t>
            </w:r>
            <w:proofErr w:type="spellEnd"/>
            <w:r>
              <w:rPr>
                <w:sz w:val="16"/>
                <w:lang w:val="en-US"/>
              </w:rPr>
              <w:t>)</w:t>
            </w:r>
          </w:p>
        </w:tc>
      </w:tr>
      <w:tr w:rsidR="001D29AB" w:rsidRPr="0017384C" w14:paraId="5D8F593C" w14:textId="77777777" w:rsidTr="00DD4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B53ED71" w14:textId="77777777" w:rsidR="001D29AB" w:rsidRPr="0017384C" w:rsidRDefault="001D29AB" w:rsidP="00DD4107">
            <w:pPr>
              <w:contextualSpacing/>
              <w:rPr>
                <w:sz w:val="16"/>
              </w:rPr>
            </w:pPr>
            <w:r w:rsidRPr="0017384C">
              <w:rPr>
                <w:sz w:val="16"/>
              </w:rPr>
              <w:t>Betalende kommuner</w:t>
            </w:r>
          </w:p>
        </w:tc>
        <w:tc>
          <w:tcPr>
            <w:tcW w:w="2042" w:type="dxa"/>
          </w:tcPr>
          <w:p w14:paraId="4DC8CBC9" w14:textId="66346A8F" w:rsidR="001D29AB" w:rsidRPr="0017384C" w:rsidRDefault="001D29AB" w:rsidP="00DD4107">
            <w:pPr>
              <w:contextualSpacing/>
              <w:jc w:val="right"/>
              <w:cnfStyle w:val="000000100000" w:firstRow="0" w:lastRow="0" w:firstColumn="0" w:lastColumn="0" w:oddVBand="0" w:evenVBand="0" w:oddHBand="1" w:evenHBand="0" w:firstRowFirstColumn="0" w:firstRowLastColumn="0" w:lastRowFirstColumn="0" w:lastRowLastColumn="0"/>
              <w:rPr>
                <w:sz w:val="16"/>
              </w:rPr>
            </w:pPr>
            <w:r w:rsidRPr="0017384C">
              <w:rPr>
                <w:sz w:val="16"/>
              </w:rPr>
              <w:t>1</w:t>
            </w:r>
            <w:r w:rsidR="00845A57">
              <w:rPr>
                <w:sz w:val="16"/>
              </w:rPr>
              <w:t>1</w:t>
            </w:r>
          </w:p>
        </w:tc>
        <w:tc>
          <w:tcPr>
            <w:tcW w:w="2042" w:type="dxa"/>
          </w:tcPr>
          <w:p w14:paraId="2B3EBFA7" w14:textId="6A0C4136" w:rsidR="001D29AB" w:rsidRPr="0017384C" w:rsidRDefault="00877105" w:rsidP="00DD4107">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11</w:t>
            </w:r>
          </w:p>
        </w:tc>
        <w:tc>
          <w:tcPr>
            <w:tcW w:w="2042" w:type="dxa"/>
          </w:tcPr>
          <w:p w14:paraId="214B3725" w14:textId="5E077A0F" w:rsidR="001D29AB" w:rsidRPr="0017384C" w:rsidRDefault="00877105" w:rsidP="00DD4107">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11</w:t>
            </w:r>
          </w:p>
        </w:tc>
      </w:tr>
    </w:tbl>
    <w:p w14:paraId="5F5F47FC" w14:textId="339EA0AF" w:rsidR="001D29AB" w:rsidRPr="0017384C" w:rsidRDefault="001D29AB" w:rsidP="001D29AB">
      <w:r w:rsidRPr="0017384C">
        <w:t>Alle kommuner benytter sig af puljen til undervisningshjælpemidler.</w:t>
      </w:r>
      <w:r w:rsidR="00742957">
        <w:t xml:space="preserve"> </w:t>
      </w:r>
    </w:p>
    <w:p w14:paraId="76520244" w14:textId="77777777" w:rsidR="00F506D2" w:rsidRPr="00FA548E" w:rsidRDefault="00F506D2" w:rsidP="00F506D2">
      <w:pPr>
        <w:pStyle w:val="Overskrift2"/>
        <w:rPr>
          <w:sz w:val="22"/>
        </w:rPr>
      </w:pPr>
      <w:r w:rsidRPr="00FA548E">
        <w:rPr>
          <w:sz w:val="22"/>
        </w:rPr>
        <w:t>Budget og regnskab</w:t>
      </w:r>
    </w:p>
    <w:p w14:paraId="432DE61C" w14:textId="77777777" w:rsidR="00F506D2" w:rsidRPr="00FA548E" w:rsidRDefault="00F506D2" w:rsidP="00F506D2">
      <w:pPr>
        <w:contextualSpacing/>
        <w:rPr>
          <w:lang w:eastAsia="da-DK"/>
        </w:rPr>
      </w:pPr>
    </w:p>
    <w:tbl>
      <w:tblPr>
        <w:tblStyle w:val="Gittertabel5-mrk-farve2"/>
        <w:tblW w:w="0" w:type="auto"/>
        <w:tblLook w:val="04A0" w:firstRow="1" w:lastRow="0" w:firstColumn="1" w:lastColumn="0" w:noHBand="0" w:noVBand="1"/>
      </w:tblPr>
      <w:tblGrid>
        <w:gridCol w:w="3183"/>
        <w:gridCol w:w="2188"/>
        <w:gridCol w:w="2189"/>
        <w:gridCol w:w="2069"/>
      </w:tblGrid>
      <w:tr w:rsidR="004F6A28" w:rsidRPr="00E147B0" w14:paraId="64916917" w14:textId="77777777" w:rsidTr="00B633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7781C9DF" w14:textId="77777777" w:rsidR="004F6A28" w:rsidRPr="00E147B0" w:rsidRDefault="004F6A28" w:rsidP="00B6334C">
            <w:pPr>
              <w:contextualSpacing/>
              <w:rPr>
                <w:sz w:val="16"/>
              </w:rPr>
            </w:pPr>
            <w:r w:rsidRPr="00E147B0">
              <w:rPr>
                <w:sz w:val="16"/>
              </w:rPr>
              <w:t>År</w:t>
            </w:r>
          </w:p>
        </w:tc>
        <w:tc>
          <w:tcPr>
            <w:tcW w:w="2188" w:type="dxa"/>
          </w:tcPr>
          <w:p w14:paraId="492A70AA" w14:textId="77777777" w:rsidR="004F6A28" w:rsidRPr="00E147B0" w:rsidRDefault="004F6A28" w:rsidP="00B6334C">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2021</w:t>
            </w:r>
          </w:p>
        </w:tc>
        <w:tc>
          <w:tcPr>
            <w:tcW w:w="2189" w:type="dxa"/>
          </w:tcPr>
          <w:p w14:paraId="7C30FEF3" w14:textId="77777777" w:rsidR="004F6A28" w:rsidRPr="00E147B0" w:rsidRDefault="004F6A28" w:rsidP="00B6334C">
            <w:pPr>
              <w:contextualSpacing/>
              <w:jc w:val="center"/>
              <w:cnfStyle w:val="100000000000" w:firstRow="1" w:lastRow="0" w:firstColumn="0" w:lastColumn="0" w:oddVBand="0" w:evenVBand="0" w:oddHBand="0" w:evenHBand="0" w:firstRowFirstColumn="0" w:firstRowLastColumn="0" w:lastRowFirstColumn="0" w:lastRowLastColumn="0"/>
              <w:rPr>
                <w:sz w:val="16"/>
              </w:rPr>
            </w:pPr>
            <w:r>
              <w:rPr>
                <w:sz w:val="16"/>
                <w:lang w:val="en-US"/>
              </w:rPr>
              <w:t>2022</w:t>
            </w:r>
          </w:p>
        </w:tc>
        <w:tc>
          <w:tcPr>
            <w:tcW w:w="2069" w:type="dxa"/>
          </w:tcPr>
          <w:p w14:paraId="7EB19E45" w14:textId="77777777" w:rsidR="004F6A28" w:rsidRPr="00E147B0" w:rsidRDefault="004F6A28" w:rsidP="00B6334C">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E147B0">
              <w:rPr>
                <w:sz w:val="16"/>
              </w:rPr>
              <w:t>202</w:t>
            </w:r>
            <w:r>
              <w:rPr>
                <w:sz w:val="16"/>
              </w:rPr>
              <w:t>3</w:t>
            </w:r>
          </w:p>
          <w:p w14:paraId="7F11AFC7" w14:textId="77777777" w:rsidR="004F6A28" w:rsidRPr="00E147B0" w:rsidRDefault="004F6A28" w:rsidP="00B6334C">
            <w:pPr>
              <w:contextualSpacing/>
              <w:jc w:val="center"/>
              <w:cnfStyle w:val="100000000000" w:firstRow="1" w:lastRow="0" w:firstColumn="0" w:lastColumn="0" w:oddVBand="0" w:evenVBand="0" w:oddHBand="0" w:evenHBand="0" w:firstRowFirstColumn="0" w:firstRowLastColumn="0" w:lastRowFirstColumn="0" w:lastRowLastColumn="0"/>
              <w:rPr>
                <w:sz w:val="16"/>
                <w:szCs w:val="16"/>
              </w:rPr>
            </w:pPr>
            <w:r w:rsidRPr="00E147B0">
              <w:rPr>
                <w:sz w:val="16"/>
                <w:szCs w:val="16"/>
              </w:rPr>
              <w:t>(forventet)</w:t>
            </w:r>
          </w:p>
        </w:tc>
      </w:tr>
      <w:tr w:rsidR="004F6A28" w:rsidRPr="00E147B0" w14:paraId="05E3BB37" w14:textId="77777777" w:rsidTr="00B63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4"/>
          </w:tcPr>
          <w:p w14:paraId="397984AD" w14:textId="77777777" w:rsidR="004F6A28" w:rsidRPr="00E147B0" w:rsidRDefault="004F6A28" w:rsidP="00B6334C">
            <w:pPr>
              <w:contextualSpacing/>
              <w:jc w:val="center"/>
              <w:rPr>
                <w:b w:val="0"/>
                <w:bCs w:val="0"/>
                <w:sz w:val="16"/>
              </w:rPr>
            </w:pPr>
            <w:r w:rsidRPr="00E147B0">
              <w:rPr>
                <w:sz w:val="16"/>
              </w:rPr>
              <w:t>Budget</w:t>
            </w:r>
          </w:p>
        </w:tc>
      </w:tr>
      <w:tr w:rsidR="004F6A28" w:rsidRPr="00E147B0" w14:paraId="1CB4DE4A" w14:textId="77777777" w:rsidTr="00B6334C">
        <w:tc>
          <w:tcPr>
            <w:cnfStyle w:val="001000000000" w:firstRow="0" w:lastRow="0" w:firstColumn="1" w:lastColumn="0" w:oddVBand="0" w:evenVBand="0" w:oddHBand="0" w:evenHBand="0" w:firstRowFirstColumn="0" w:firstRowLastColumn="0" w:lastRowFirstColumn="0" w:lastRowLastColumn="0"/>
            <w:tcW w:w="3183" w:type="dxa"/>
          </w:tcPr>
          <w:p w14:paraId="0C91E2B5" w14:textId="77777777" w:rsidR="004F6A28" w:rsidRPr="00E147B0" w:rsidRDefault="004F6A28" w:rsidP="00B6334C">
            <w:pPr>
              <w:contextualSpacing/>
              <w:rPr>
                <w:sz w:val="16"/>
              </w:rPr>
            </w:pPr>
            <w:r w:rsidRPr="00E147B0">
              <w:rPr>
                <w:sz w:val="16"/>
              </w:rPr>
              <w:t>Bruttoomkostningsbudget</w:t>
            </w:r>
          </w:p>
        </w:tc>
        <w:tc>
          <w:tcPr>
            <w:tcW w:w="2188" w:type="dxa"/>
            <w:tcBorders>
              <w:top w:val="nil"/>
              <w:left w:val="nil"/>
              <w:bottom w:val="nil"/>
              <w:right w:val="single" w:sz="8" w:space="0" w:color="FFFFFF"/>
            </w:tcBorders>
            <w:shd w:val="clear" w:color="000000" w:fill="C6D9F1"/>
            <w:vAlign w:val="center"/>
          </w:tcPr>
          <w:p w14:paraId="53B2F64C" w14:textId="77777777" w:rsidR="004F6A28" w:rsidRPr="00E147B0" w:rsidRDefault="004F6A28" w:rsidP="00B6334C">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36.565.727 </w:t>
            </w:r>
          </w:p>
        </w:tc>
        <w:tc>
          <w:tcPr>
            <w:tcW w:w="2189" w:type="dxa"/>
            <w:tcBorders>
              <w:top w:val="nil"/>
              <w:left w:val="nil"/>
              <w:bottom w:val="nil"/>
              <w:right w:val="nil"/>
            </w:tcBorders>
            <w:shd w:val="clear" w:color="000000" w:fill="C6D9F1"/>
            <w:vAlign w:val="center"/>
          </w:tcPr>
          <w:p w14:paraId="139F9276" w14:textId="77777777" w:rsidR="004F6A28" w:rsidRPr="00E147B0" w:rsidRDefault="004F6A28" w:rsidP="00B6334C">
            <w:pPr>
              <w:contextualSpacing/>
              <w:cnfStyle w:val="000000000000" w:firstRow="0" w:lastRow="0" w:firstColumn="0" w:lastColumn="0" w:oddVBand="0" w:evenVBand="0" w:oddHBand="0" w:evenHBand="0" w:firstRowFirstColumn="0" w:firstRowLastColumn="0" w:lastRowFirstColumn="0" w:lastRowLastColumn="0"/>
              <w:rPr>
                <w:sz w:val="16"/>
              </w:rPr>
            </w:pPr>
            <w:r w:rsidRPr="00396B45">
              <w:rPr>
                <w:sz w:val="16"/>
              </w:rPr>
              <w:t>37.029.734</w:t>
            </w:r>
          </w:p>
        </w:tc>
        <w:tc>
          <w:tcPr>
            <w:tcW w:w="2069" w:type="dxa"/>
            <w:tcBorders>
              <w:top w:val="nil"/>
              <w:left w:val="nil"/>
              <w:bottom w:val="nil"/>
              <w:right w:val="single" w:sz="8" w:space="0" w:color="FFFFFF"/>
            </w:tcBorders>
            <w:shd w:val="clear" w:color="000000" w:fill="C6D9F1"/>
            <w:vAlign w:val="center"/>
          </w:tcPr>
          <w:p w14:paraId="6BC26BF7" w14:textId="77777777" w:rsidR="004F6A28" w:rsidRPr="00E147B0" w:rsidRDefault="004F6A28" w:rsidP="00B6334C">
            <w:pPr>
              <w:contextualSpacing/>
              <w:cnfStyle w:val="000000000000" w:firstRow="0" w:lastRow="0" w:firstColumn="0" w:lastColumn="0" w:oddVBand="0" w:evenVBand="0" w:oddHBand="0" w:evenHBand="0" w:firstRowFirstColumn="0" w:firstRowLastColumn="0" w:lastRowFirstColumn="0" w:lastRowLastColumn="0"/>
              <w:rPr>
                <w:sz w:val="16"/>
              </w:rPr>
            </w:pPr>
            <w:r w:rsidRPr="00396B45">
              <w:rPr>
                <w:sz w:val="16"/>
              </w:rPr>
              <w:t>38.354.912</w:t>
            </w:r>
          </w:p>
        </w:tc>
      </w:tr>
      <w:tr w:rsidR="004F6A28" w:rsidRPr="00E147B0" w14:paraId="31AB682D" w14:textId="77777777" w:rsidTr="00B63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4"/>
            <w:tcBorders>
              <w:right w:val="single" w:sz="4" w:space="0" w:color="auto"/>
            </w:tcBorders>
          </w:tcPr>
          <w:p w14:paraId="61C08496" w14:textId="77777777" w:rsidR="004F6A28" w:rsidRPr="00E147B0" w:rsidRDefault="004F6A28" w:rsidP="00B6334C">
            <w:pPr>
              <w:contextualSpacing/>
              <w:jc w:val="center"/>
              <w:rPr>
                <w:sz w:val="16"/>
              </w:rPr>
            </w:pPr>
            <w:r>
              <w:rPr>
                <w:sz w:val="16"/>
              </w:rPr>
              <w:t>Regnskab</w:t>
            </w:r>
          </w:p>
        </w:tc>
      </w:tr>
      <w:tr w:rsidR="00080876" w:rsidRPr="00E147B0" w14:paraId="129A4ACF" w14:textId="77777777" w:rsidTr="00B6334C">
        <w:tc>
          <w:tcPr>
            <w:cnfStyle w:val="001000000000" w:firstRow="0" w:lastRow="0" w:firstColumn="1" w:lastColumn="0" w:oddVBand="0" w:evenVBand="0" w:oddHBand="0" w:evenHBand="0" w:firstRowFirstColumn="0" w:firstRowLastColumn="0" w:lastRowFirstColumn="0" w:lastRowLastColumn="0"/>
            <w:tcW w:w="3183" w:type="dxa"/>
          </w:tcPr>
          <w:p w14:paraId="17C85F97" w14:textId="77777777" w:rsidR="00080876" w:rsidRPr="00E147B0" w:rsidRDefault="00080876" w:rsidP="00080876">
            <w:pPr>
              <w:contextualSpacing/>
              <w:rPr>
                <w:sz w:val="16"/>
              </w:rPr>
            </w:pPr>
            <w:r w:rsidRPr="00E147B0">
              <w:rPr>
                <w:sz w:val="16"/>
              </w:rPr>
              <w:t>Takstindtægter</w:t>
            </w:r>
          </w:p>
        </w:tc>
        <w:tc>
          <w:tcPr>
            <w:tcW w:w="2188" w:type="dxa"/>
            <w:tcBorders>
              <w:top w:val="nil"/>
              <w:left w:val="nil"/>
              <w:bottom w:val="single" w:sz="8" w:space="0" w:color="FFFFFF"/>
              <w:right w:val="single" w:sz="8" w:space="0" w:color="FFFFFF"/>
            </w:tcBorders>
            <w:shd w:val="clear" w:color="000000" w:fill="C6D9F1"/>
            <w:vAlign w:val="center"/>
          </w:tcPr>
          <w:p w14:paraId="7D07E424" w14:textId="77777777" w:rsidR="00080876" w:rsidRPr="00E147B0" w:rsidRDefault="00080876" w:rsidP="0008087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-35.573.835 </w:t>
            </w:r>
          </w:p>
        </w:tc>
        <w:tc>
          <w:tcPr>
            <w:tcW w:w="2189" w:type="dxa"/>
            <w:tcBorders>
              <w:top w:val="single" w:sz="8" w:space="0" w:color="FFFFFF"/>
              <w:left w:val="single" w:sz="8" w:space="0" w:color="FFFFFF"/>
              <w:bottom w:val="single" w:sz="8" w:space="0" w:color="FFFFFF"/>
              <w:right w:val="single" w:sz="8" w:space="0" w:color="FFFFFF"/>
            </w:tcBorders>
            <w:shd w:val="clear" w:color="000000" w:fill="C6D9F1"/>
            <w:vAlign w:val="center"/>
          </w:tcPr>
          <w:p w14:paraId="32C83370" w14:textId="6607F109" w:rsidR="00080876" w:rsidRPr="00E147B0" w:rsidRDefault="00080876" w:rsidP="0008087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-37.763.382 </w:t>
            </w:r>
          </w:p>
        </w:tc>
        <w:tc>
          <w:tcPr>
            <w:tcW w:w="2069" w:type="dxa"/>
            <w:tcBorders>
              <w:top w:val="nil"/>
              <w:left w:val="nil"/>
              <w:bottom w:val="single" w:sz="8" w:space="0" w:color="FFFFFF"/>
              <w:right w:val="single" w:sz="8" w:space="0" w:color="FFFFFF"/>
            </w:tcBorders>
            <w:shd w:val="clear" w:color="000000" w:fill="C6D9F1"/>
            <w:vAlign w:val="center"/>
          </w:tcPr>
          <w:p w14:paraId="456A1AFE" w14:textId="55C64362" w:rsidR="00080876" w:rsidRPr="00E147B0" w:rsidRDefault="00080876" w:rsidP="0008087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-39.942.712 </w:t>
            </w:r>
          </w:p>
        </w:tc>
      </w:tr>
      <w:tr w:rsidR="00080876" w:rsidRPr="00E147B0" w14:paraId="16582878" w14:textId="77777777" w:rsidTr="00B63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44349415" w14:textId="77777777" w:rsidR="00080876" w:rsidRPr="00E147B0" w:rsidRDefault="00080876" w:rsidP="00080876">
            <w:pPr>
              <w:contextualSpacing/>
              <w:rPr>
                <w:sz w:val="16"/>
              </w:rPr>
            </w:pPr>
            <w:r w:rsidRPr="00E147B0">
              <w:rPr>
                <w:sz w:val="16"/>
              </w:rPr>
              <w:t>Direkte udgifter</w:t>
            </w:r>
          </w:p>
        </w:tc>
        <w:tc>
          <w:tcPr>
            <w:tcW w:w="2188" w:type="dxa"/>
            <w:tcBorders>
              <w:top w:val="nil"/>
              <w:left w:val="nil"/>
              <w:bottom w:val="single" w:sz="8" w:space="0" w:color="FFFFFF"/>
              <w:right w:val="single" w:sz="8" w:space="0" w:color="FFFFFF"/>
            </w:tcBorders>
            <w:shd w:val="clear" w:color="000000" w:fill="8DB3E2"/>
            <w:vAlign w:val="center"/>
          </w:tcPr>
          <w:p w14:paraId="3021BBE7" w14:textId="77777777" w:rsidR="00080876" w:rsidRPr="00E147B0" w:rsidRDefault="00080876" w:rsidP="00080876">
            <w:pPr>
              <w:contextualSpacing/>
              <w:cnfStyle w:val="000000100000" w:firstRow="0" w:lastRow="0" w:firstColumn="0" w:lastColumn="0" w:oddVBand="0" w:evenVBand="0" w:oddHBand="1" w:evenHBand="0" w:firstRowFirstColumn="0" w:firstRowLastColumn="0" w:lastRowFirstColumn="0" w:lastRowLastColumn="0"/>
              <w:rPr>
                <w:sz w:val="16"/>
              </w:rPr>
            </w:pPr>
            <w:r w:rsidRPr="004D528B">
              <w:rPr>
                <w:rFonts w:ascii="Calibri" w:hAnsi="Calibri" w:cs="Calibri"/>
                <w:color w:val="000000"/>
              </w:rPr>
              <w:t xml:space="preserve">26.889.022 </w:t>
            </w:r>
          </w:p>
        </w:tc>
        <w:tc>
          <w:tcPr>
            <w:tcW w:w="2189" w:type="dxa"/>
            <w:tcBorders>
              <w:top w:val="nil"/>
              <w:left w:val="nil"/>
              <w:bottom w:val="single" w:sz="8" w:space="0" w:color="FFFFFF"/>
              <w:right w:val="single" w:sz="8" w:space="0" w:color="FFFFFF"/>
            </w:tcBorders>
            <w:shd w:val="clear" w:color="000000" w:fill="8DB3E2"/>
            <w:vAlign w:val="center"/>
          </w:tcPr>
          <w:p w14:paraId="19325155" w14:textId="3FBB7F0B" w:rsidR="00080876" w:rsidRPr="004D528B" w:rsidRDefault="00080876" w:rsidP="00080876">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29.862.972 </w:t>
            </w:r>
          </w:p>
        </w:tc>
        <w:tc>
          <w:tcPr>
            <w:tcW w:w="2069" w:type="dxa"/>
            <w:tcBorders>
              <w:top w:val="nil"/>
              <w:left w:val="nil"/>
              <w:bottom w:val="single" w:sz="8" w:space="0" w:color="FFFFFF"/>
              <w:right w:val="single" w:sz="8" w:space="0" w:color="FFFFFF"/>
            </w:tcBorders>
            <w:shd w:val="clear" w:color="000000" w:fill="8DB3E2"/>
            <w:vAlign w:val="center"/>
          </w:tcPr>
          <w:p w14:paraId="3A66D723" w14:textId="4BEBF871" w:rsidR="00080876" w:rsidRPr="004D528B" w:rsidRDefault="00080876" w:rsidP="00080876">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32.252.164 </w:t>
            </w:r>
          </w:p>
        </w:tc>
      </w:tr>
      <w:tr w:rsidR="00080876" w:rsidRPr="00E147B0" w14:paraId="10454964" w14:textId="77777777" w:rsidTr="00B6334C">
        <w:tc>
          <w:tcPr>
            <w:cnfStyle w:val="001000000000" w:firstRow="0" w:lastRow="0" w:firstColumn="1" w:lastColumn="0" w:oddVBand="0" w:evenVBand="0" w:oddHBand="0" w:evenHBand="0" w:firstRowFirstColumn="0" w:firstRowLastColumn="0" w:lastRowFirstColumn="0" w:lastRowLastColumn="0"/>
            <w:tcW w:w="3183" w:type="dxa"/>
          </w:tcPr>
          <w:p w14:paraId="4F153366" w14:textId="77777777" w:rsidR="00080876" w:rsidRPr="00E147B0" w:rsidRDefault="00080876" w:rsidP="00080876">
            <w:pPr>
              <w:contextualSpacing/>
              <w:rPr>
                <w:sz w:val="16"/>
              </w:rPr>
            </w:pPr>
            <w:r w:rsidRPr="00E147B0">
              <w:rPr>
                <w:sz w:val="16"/>
              </w:rPr>
              <w:t>Administration</w:t>
            </w:r>
          </w:p>
        </w:tc>
        <w:tc>
          <w:tcPr>
            <w:tcW w:w="2188" w:type="dxa"/>
            <w:tcBorders>
              <w:top w:val="nil"/>
              <w:left w:val="nil"/>
              <w:bottom w:val="single" w:sz="8" w:space="0" w:color="FFFFFF"/>
              <w:right w:val="single" w:sz="8" w:space="0" w:color="FFFFFF"/>
            </w:tcBorders>
            <w:shd w:val="clear" w:color="000000" w:fill="C6D9F1"/>
            <w:vAlign w:val="center"/>
          </w:tcPr>
          <w:p w14:paraId="7B61A58B" w14:textId="77777777" w:rsidR="00080876" w:rsidRPr="00E147B0" w:rsidRDefault="00080876" w:rsidP="00080876">
            <w:pPr>
              <w:contextualSpacing/>
              <w:cnfStyle w:val="000000000000" w:firstRow="0" w:lastRow="0" w:firstColumn="0" w:lastColumn="0" w:oddVBand="0" w:evenVBand="0" w:oddHBand="0" w:evenHBand="0" w:firstRowFirstColumn="0" w:firstRowLastColumn="0" w:lastRowFirstColumn="0" w:lastRowLastColumn="0"/>
              <w:rPr>
                <w:sz w:val="16"/>
              </w:rPr>
            </w:pPr>
            <w:r w:rsidRPr="004D528B">
              <w:rPr>
                <w:rFonts w:ascii="Calibri" w:hAnsi="Calibri" w:cs="Calibri"/>
                <w:color w:val="000000"/>
              </w:rPr>
              <w:t xml:space="preserve">4.080.924 </w:t>
            </w:r>
          </w:p>
        </w:tc>
        <w:tc>
          <w:tcPr>
            <w:tcW w:w="2189" w:type="dxa"/>
            <w:tcBorders>
              <w:top w:val="nil"/>
              <w:left w:val="single" w:sz="8" w:space="0" w:color="FFFFFF"/>
              <w:bottom w:val="single" w:sz="8" w:space="0" w:color="FFFFFF"/>
              <w:right w:val="single" w:sz="8" w:space="0" w:color="FFFFFF"/>
            </w:tcBorders>
            <w:shd w:val="clear" w:color="000000" w:fill="C6D9F1"/>
            <w:vAlign w:val="center"/>
          </w:tcPr>
          <w:p w14:paraId="6C18CF5D" w14:textId="3D951F67" w:rsidR="00080876" w:rsidRPr="004D528B" w:rsidRDefault="00080876" w:rsidP="0008087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3.574.676 </w:t>
            </w:r>
          </w:p>
        </w:tc>
        <w:tc>
          <w:tcPr>
            <w:tcW w:w="2069" w:type="dxa"/>
            <w:tcBorders>
              <w:top w:val="nil"/>
              <w:left w:val="nil"/>
              <w:bottom w:val="single" w:sz="8" w:space="0" w:color="FFFFFF"/>
              <w:right w:val="single" w:sz="8" w:space="0" w:color="FFFFFF"/>
            </w:tcBorders>
            <w:shd w:val="clear" w:color="000000" w:fill="C6D9F1"/>
            <w:vAlign w:val="center"/>
          </w:tcPr>
          <w:p w14:paraId="0ED80505" w14:textId="39203DAD" w:rsidR="00080876" w:rsidRPr="004D528B" w:rsidRDefault="00080876" w:rsidP="0008087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3.500.218 </w:t>
            </w:r>
          </w:p>
        </w:tc>
      </w:tr>
      <w:tr w:rsidR="00080876" w:rsidRPr="00E147B0" w14:paraId="7CC70826" w14:textId="77777777" w:rsidTr="00B63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4D1D3A20" w14:textId="77777777" w:rsidR="00080876" w:rsidRPr="00E147B0" w:rsidRDefault="00080876" w:rsidP="00080876">
            <w:pPr>
              <w:contextualSpacing/>
              <w:rPr>
                <w:sz w:val="16"/>
              </w:rPr>
            </w:pPr>
            <w:r w:rsidRPr="00E147B0">
              <w:rPr>
                <w:sz w:val="16"/>
              </w:rPr>
              <w:t>Central ledelse og administration</w:t>
            </w:r>
          </w:p>
        </w:tc>
        <w:tc>
          <w:tcPr>
            <w:tcW w:w="2188" w:type="dxa"/>
            <w:tcBorders>
              <w:top w:val="nil"/>
              <w:left w:val="nil"/>
              <w:bottom w:val="single" w:sz="8" w:space="0" w:color="FFFFFF"/>
              <w:right w:val="single" w:sz="8" w:space="0" w:color="FFFFFF"/>
            </w:tcBorders>
            <w:shd w:val="clear" w:color="000000" w:fill="8DB3E2"/>
            <w:vAlign w:val="center"/>
          </w:tcPr>
          <w:p w14:paraId="754BAB53" w14:textId="77777777" w:rsidR="00080876" w:rsidRPr="00E147B0" w:rsidRDefault="00080876" w:rsidP="00080876">
            <w:pPr>
              <w:contextualSpacing/>
              <w:cnfStyle w:val="000000100000" w:firstRow="0" w:lastRow="0" w:firstColumn="0" w:lastColumn="0" w:oddVBand="0" w:evenVBand="0" w:oddHBand="1" w:evenHBand="0" w:firstRowFirstColumn="0" w:firstRowLastColumn="0" w:lastRowFirstColumn="0" w:lastRowLastColumn="0"/>
              <w:rPr>
                <w:sz w:val="16"/>
              </w:rPr>
            </w:pPr>
            <w:r w:rsidRPr="004D528B">
              <w:rPr>
                <w:rFonts w:ascii="Calibri" w:hAnsi="Calibri" w:cs="Calibri"/>
                <w:color w:val="000000"/>
              </w:rPr>
              <w:t xml:space="preserve">1.504.597 </w:t>
            </w:r>
          </w:p>
        </w:tc>
        <w:tc>
          <w:tcPr>
            <w:tcW w:w="2189" w:type="dxa"/>
            <w:tcBorders>
              <w:top w:val="nil"/>
              <w:left w:val="single" w:sz="8" w:space="0" w:color="FFFFFF"/>
              <w:bottom w:val="single" w:sz="8" w:space="0" w:color="FFFFFF"/>
              <w:right w:val="single" w:sz="8" w:space="0" w:color="FFFFFF"/>
            </w:tcBorders>
            <w:shd w:val="clear" w:color="000000" w:fill="8DB3E2"/>
            <w:vAlign w:val="center"/>
          </w:tcPr>
          <w:p w14:paraId="72F876DA" w14:textId="63DA6608" w:rsidR="00080876" w:rsidRPr="004D528B" w:rsidRDefault="00080876" w:rsidP="00080876">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1.678.809 </w:t>
            </w:r>
          </w:p>
        </w:tc>
        <w:tc>
          <w:tcPr>
            <w:tcW w:w="2069" w:type="dxa"/>
            <w:tcBorders>
              <w:top w:val="nil"/>
              <w:left w:val="nil"/>
              <w:bottom w:val="single" w:sz="8" w:space="0" w:color="FFFFFF"/>
              <w:right w:val="single" w:sz="8" w:space="0" w:color="FFFFFF"/>
            </w:tcBorders>
            <w:shd w:val="clear" w:color="000000" w:fill="8DB3E2"/>
            <w:vAlign w:val="center"/>
          </w:tcPr>
          <w:p w14:paraId="40F47205" w14:textId="43CDF7CF" w:rsidR="00080876" w:rsidRPr="004D528B" w:rsidRDefault="00080876" w:rsidP="00080876">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1.728.702 </w:t>
            </w:r>
          </w:p>
        </w:tc>
      </w:tr>
      <w:tr w:rsidR="00080876" w:rsidRPr="00E147B0" w14:paraId="19507039" w14:textId="77777777" w:rsidTr="00B6334C">
        <w:tc>
          <w:tcPr>
            <w:cnfStyle w:val="001000000000" w:firstRow="0" w:lastRow="0" w:firstColumn="1" w:lastColumn="0" w:oddVBand="0" w:evenVBand="0" w:oddHBand="0" w:evenHBand="0" w:firstRowFirstColumn="0" w:firstRowLastColumn="0" w:lastRowFirstColumn="0" w:lastRowLastColumn="0"/>
            <w:tcW w:w="3183" w:type="dxa"/>
          </w:tcPr>
          <w:p w14:paraId="7A908DF1" w14:textId="77777777" w:rsidR="00080876" w:rsidRPr="00E147B0" w:rsidRDefault="00080876" w:rsidP="00080876">
            <w:pPr>
              <w:contextualSpacing/>
              <w:rPr>
                <w:sz w:val="16"/>
              </w:rPr>
            </w:pPr>
            <w:r w:rsidRPr="00E147B0">
              <w:rPr>
                <w:sz w:val="16"/>
              </w:rPr>
              <w:t>Ejendoms- og kapitalomkostninger</w:t>
            </w:r>
          </w:p>
        </w:tc>
        <w:tc>
          <w:tcPr>
            <w:tcW w:w="2188" w:type="dxa"/>
            <w:tcBorders>
              <w:top w:val="nil"/>
              <w:left w:val="nil"/>
              <w:bottom w:val="single" w:sz="8" w:space="0" w:color="FFFFFF"/>
              <w:right w:val="single" w:sz="8" w:space="0" w:color="FFFFFF"/>
            </w:tcBorders>
            <w:shd w:val="clear" w:color="000000" w:fill="C6D9F1"/>
            <w:vAlign w:val="center"/>
          </w:tcPr>
          <w:p w14:paraId="16A2455F" w14:textId="77777777" w:rsidR="00080876" w:rsidRPr="00E147B0" w:rsidRDefault="00080876" w:rsidP="00080876">
            <w:pPr>
              <w:contextualSpacing/>
              <w:cnfStyle w:val="000000000000" w:firstRow="0" w:lastRow="0" w:firstColumn="0" w:lastColumn="0" w:oddVBand="0" w:evenVBand="0" w:oddHBand="0" w:evenHBand="0" w:firstRowFirstColumn="0" w:firstRowLastColumn="0" w:lastRowFirstColumn="0" w:lastRowLastColumn="0"/>
              <w:rPr>
                <w:sz w:val="16"/>
              </w:rPr>
            </w:pPr>
            <w:r w:rsidRPr="004D528B">
              <w:rPr>
                <w:rFonts w:ascii="Calibri" w:hAnsi="Calibri" w:cs="Calibri"/>
                <w:color w:val="000000"/>
              </w:rPr>
              <w:t xml:space="preserve">1.497.861 </w:t>
            </w:r>
          </w:p>
        </w:tc>
        <w:tc>
          <w:tcPr>
            <w:tcW w:w="2189" w:type="dxa"/>
            <w:tcBorders>
              <w:top w:val="nil"/>
              <w:left w:val="single" w:sz="8" w:space="0" w:color="FFFFFF"/>
              <w:bottom w:val="single" w:sz="8" w:space="0" w:color="FFFFFF"/>
              <w:right w:val="single" w:sz="8" w:space="0" w:color="FFFFFF"/>
            </w:tcBorders>
            <w:shd w:val="clear" w:color="000000" w:fill="C6D9F1"/>
            <w:vAlign w:val="center"/>
          </w:tcPr>
          <w:p w14:paraId="6A4C19DD" w14:textId="101C3AF9" w:rsidR="00080876" w:rsidRPr="004D528B" w:rsidRDefault="00080876" w:rsidP="0008087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1.498.644 </w:t>
            </w:r>
          </w:p>
        </w:tc>
        <w:tc>
          <w:tcPr>
            <w:tcW w:w="2069" w:type="dxa"/>
            <w:tcBorders>
              <w:top w:val="nil"/>
              <w:left w:val="nil"/>
              <w:bottom w:val="single" w:sz="8" w:space="0" w:color="FFFFFF"/>
              <w:right w:val="single" w:sz="8" w:space="0" w:color="FFFFFF"/>
            </w:tcBorders>
            <w:shd w:val="clear" w:color="000000" w:fill="C6D9F1"/>
            <w:vAlign w:val="center"/>
          </w:tcPr>
          <w:p w14:paraId="048910A6" w14:textId="2F80B8B1" w:rsidR="00080876" w:rsidRPr="004D528B" w:rsidRDefault="00080876" w:rsidP="0008087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1.589.546 </w:t>
            </w:r>
          </w:p>
        </w:tc>
      </w:tr>
      <w:tr w:rsidR="00080876" w:rsidRPr="00E147B0" w14:paraId="6254575F" w14:textId="77777777" w:rsidTr="00B633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14:paraId="3DEDEBDC" w14:textId="77777777" w:rsidR="00080876" w:rsidRPr="00E147B0" w:rsidRDefault="00080876" w:rsidP="00080876">
            <w:pPr>
              <w:contextualSpacing/>
              <w:rPr>
                <w:sz w:val="16"/>
              </w:rPr>
            </w:pPr>
            <w:r w:rsidRPr="00E147B0">
              <w:rPr>
                <w:sz w:val="16"/>
              </w:rPr>
              <w:t>Tilsyn og udvikling</w:t>
            </w:r>
          </w:p>
        </w:tc>
        <w:tc>
          <w:tcPr>
            <w:tcW w:w="2188" w:type="dxa"/>
            <w:tcBorders>
              <w:top w:val="nil"/>
              <w:left w:val="nil"/>
              <w:bottom w:val="single" w:sz="8" w:space="0" w:color="FFFFFF"/>
              <w:right w:val="single" w:sz="8" w:space="0" w:color="FFFFFF"/>
            </w:tcBorders>
            <w:shd w:val="clear" w:color="000000" w:fill="8DB3E2"/>
            <w:vAlign w:val="center"/>
          </w:tcPr>
          <w:p w14:paraId="6B7E36C1" w14:textId="77777777" w:rsidR="00080876" w:rsidRPr="00E147B0" w:rsidRDefault="00080876" w:rsidP="00080876">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681.769 </w:t>
            </w:r>
          </w:p>
        </w:tc>
        <w:tc>
          <w:tcPr>
            <w:tcW w:w="2189" w:type="dxa"/>
            <w:tcBorders>
              <w:top w:val="nil"/>
              <w:left w:val="single" w:sz="8" w:space="0" w:color="FFFFFF"/>
              <w:bottom w:val="single" w:sz="8" w:space="0" w:color="FFFFFF"/>
              <w:right w:val="single" w:sz="8" w:space="0" w:color="FFFFFF"/>
            </w:tcBorders>
            <w:shd w:val="clear" w:color="000000" w:fill="8DB3E2"/>
            <w:vAlign w:val="center"/>
          </w:tcPr>
          <w:p w14:paraId="6407702A" w14:textId="69441462" w:rsidR="00080876" w:rsidRPr="00E147B0" w:rsidRDefault="00080876" w:rsidP="00080876">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441.038 </w:t>
            </w:r>
          </w:p>
        </w:tc>
        <w:tc>
          <w:tcPr>
            <w:tcW w:w="2069" w:type="dxa"/>
            <w:tcBorders>
              <w:top w:val="nil"/>
              <w:left w:val="nil"/>
              <w:bottom w:val="single" w:sz="8" w:space="0" w:color="FFFFFF"/>
              <w:right w:val="single" w:sz="8" w:space="0" w:color="FFFFFF"/>
            </w:tcBorders>
            <w:shd w:val="clear" w:color="000000" w:fill="8DB3E2"/>
            <w:vAlign w:val="center"/>
          </w:tcPr>
          <w:p w14:paraId="0C66E463" w14:textId="611C292B" w:rsidR="00080876" w:rsidRPr="00E147B0" w:rsidRDefault="00080876" w:rsidP="00080876">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845.550 </w:t>
            </w:r>
          </w:p>
        </w:tc>
      </w:tr>
      <w:tr w:rsidR="00080876" w:rsidRPr="00E147B0" w14:paraId="25884759" w14:textId="77777777" w:rsidTr="00B6334C">
        <w:trPr>
          <w:trHeight w:val="60"/>
        </w:trPr>
        <w:tc>
          <w:tcPr>
            <w:cnfStyle w:val="001000000000" w:firstRow="0" w:lastRow="0" w:firstColumn="1" w:lastColumn="0" w:oddVBand="0" w:evenVBand="0" w:oddHBand="0" w:evenHBand="0" w:firstRowFirstColumn="0" w:firstRowLastColumn="0" w:lastRowFirstColumn="0" w:lastRowLastColumn="0"/>
            <w:tcW w:w="3183" w:type="dxa"/>
          </w:tcPr>
          <w:p w14:paraId="58A8B432" w14:textId="77777777" w:rsidR="00080876" w:rsidRPr="00E147B0" w:rsidRDefault="00080876" w:rsidP="00080876">
            <w:pPr>
              <w:contextualSpacing/>
              <w:rPr>
                <w:sz w:val="16"/>
              </w:rPr>
            </w:pPr>
            <w:r w:rsidRPr="00E147B0">
              <w:rPr>
                <w:sz w:val="16"/>
              </w:rPr>
              <w:t>I alt</w:t>
            </w:r>
          </w:p>
        </w:tc>
        <w:tc>
          <w:tcPr>
            <w:tcW w:w="2188" w:type="dxa"/>
            <w:tcBorders>
              <w:top w:val="nil"/>
              <w:left w:val="nil"/>
              <w:bottom w:val="single" w:sz="8" w:space="0" w:color="FFFFFF"/>
              <w:right w:val="single" w:sz="8" w:space="0" w:color="FFFFFF"/>
            </w:tcBorders>
            <w:shd w:val="clear" w:color="000000" w:fill="C6D9F1"/>
            <w:vAlign w:val="center"/>
          </w:tcPr>
          <w:p w14:paraId="5B15D674" w14:textId="77777777" w:rsidR="00080876" w:rsidRPr="00E147B0" w:rsidRDefault="00080876" w:rsidP="0008087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-919.662 </w:t>
            </w:r>
          </w:p>
        </w:tc>
        <w:tc>
          <w:tcPr>
            <w:tcW w:w="2189" w:type="dxa"/>
            <w:tcBorders>
              <w:top w:val="nil"/>
              <w:left w:val="single" w:sz="8" w:space="0" w:color="FFFFFF"/>
              <w:bottom w:val="single" w:sz="8" w:space="0" w:color="FFFFFF"/>
              <w:right w:val="single" w:sz="8" w:space="0" w:color="FFFFFF"/>
            </w:tcBorders>
            <w:shd w:val="clear" w:color="000000" w:fill="C6D9F1"/>
            <w:vAlign w:val="center"/>
          </w:tcPr>
          <w:p w14:paraId="6FD0F661" w14:textId="70086080" w:rsidR="00080876" w:rsidRPr="00E147B0" w:rsidRDefault="00080876" w:rsidP="0008087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-707.243 </w:t>
            </w:r>
          </w:p>
        </w:tc>
        <w:tc>
          <w:tcPr>
            <w:tcW w:w="2069" w:type="dxa"/>
            <w:tcBorders>
              <w:top w:val="nil"/>
              <w:left w:val="nil"/>
              <w:bottom w:val="single" w:sz="8" w:space="0" w:color="FFFFFF"/>
              <w:right w:val="single" w:sz="8" w:space="0" w:color="FFFFFF"/>
            </w:tcBorders>
            <w:shd w:val="clear" w:color="000000" w:fill="C6D9F1"/>
            <w:vAlign w:val="center"/>
          </w:tcPr>
          <w:p w14:paraId="3E88EA10" w14:textId="00373721" w:rsidR="00080876" w:rsidRPr="00E147B0" w:rsidRDefault="00080876" w:rsidP="00080876">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-26.532 </w:t>
            </w:r>
          </w:p>
        </w:tc>
      </w:tr>
    </w:tbl>
    <w:p w14:paraId="7285B9C3" w14:textId="5E3129FE" w:rsidR="00F506D2" w:rsidRDefault="00F506D2" w:rsidP="00F506D2">
      <w:pPr>
        <w:rPr>
          <w:sz w:val="22"/>
          <w:szCs w:val="22"/>
        </w:rPr>
      </w:pPr>
    </w:p>
    <w:p w14:paraId="29CCDA23" w14:textId="05001CF9" w:rsidR="00080876" w:rsidRPr="00085972" w:rsidRDefault="00080876" w:rsidP="00080876">
      <w:r w:rsidRPr="00085972">
        <w:t xml:space="preserve">ISHD </w:t>
      </w:r>
      <w:r w:rsidR="00085972">
        <w:t xml:space="preserve">har haft et overskud </w:t>
      </w:r>
      <w:r w:rsidR="00E67636" w:rsidRPr="00085972">
        <w:t>på</w:t>
      </w:r>
      <w:r w:rsidRPr="00085972">
        <w:t xml:space="preserve"> 0,9 mio. kr.</w:t>
      </w:r>
      <w:r w:rsidR="00085972" w:rsidRPr="00085972">
        <w:t xml:space="preserve"> i 2021</w:t>
      </w:r>
      <w:r w:rsidRPr="00085972">
        <w:t xml:space="preserve"> og 0,7 mio. kr. i 2022. I 2023 forventes der et overskud på 0,026 mio. kr. </w:t>
      </w:r>
    </w:p>
    <w:p w14:paraId="5FC4BBFF" w14:textId="512D9A6D" w:rsidR="0031562B" w:rsidRPr="00FA548E" w:rsidRDefault="0031562B" w:rsidP="0031562B">
      <w:pPr>
        <w:pStyle w:val="DagsordenReferat-Opstilling"/>
        <w:numPr>
          <w:ilvl w:val="0"/>
          <w:numId w:val="0"/>
        </w:numPr>
        <w:ind w:left="340" w:hanging="340"/>
      </w:pPr>
      <w:r w:rsidRPr="00FA548E">
        <w:t xml:space="preserve">Udvikling af </w:t>
      </w:r>
      <w:r w:rsidR="00FB14A9" w:rsidRPr="00D73442">
        <w:t>Institut for Syn, Hørelse og Døvblindhed</w:t>
      </w:r>
    </w:p>
    <w:p w14:paraId="689EA60C" w14:textId="09886D9E" w:rsidR="00FB12AE" w:rsidRDefault="00FB12AE" w:rsidP="00FB12AE">
      <w:pPr>
        <w:rPr>
          <w:i/>
        </w:rPr>
      </w:pPr>
      <w:r w:rsidRPr="008A7225">
        <w:rPr>
          <w:b/>
        </w:rPr>
        <w:t>Faglig udvikling</w:t>
      </w:r>
      <w:r>
        <w:rPr>
          <w:i/>
        </w:rPr>
        <w:t xml:space="preserve"> </w:t>
      </w:r>
    </w:p>
    <w:p w14:paraId="51E209E8" w14:textId="450C04A4" w:rsidR="005703CA" w:rsidRPr="005703CA" w:rsidRDefault="005703CA" w:rsidP="00FB12AE">
      <w:pPr>
        <w:rPr>
          <w:iCs/>
        </w:rPr>
      </w:pPr>
      <w:r>
        <w:rPr>
          <w:iCs/>
        </w:rPr>
        <w:t xml:space="preserve">Der har været stigende efterspørgsel på specialviden omkring APD, </w:t>
      </w:r>
      <w:proofErr w:type="spellStart"/>
      <w:r>
        <w:rPr>
          <w:iCs/>
        </w:rPr>
        <w:t>Tinitus</w:t>
      </w:r>
      <w:proofErr w:type="spellEnd"/>
      <w:r>
        <w:rPr>
          <w:iCs/>
        </w:rPr>
        <w:t xml:space="preserve"> og synsnedsættelse på grund af hjernerystelse. Det har betydet, at vi har haft fokus på</w:t>
      </w:r>
      <w:r w:rsidR="00EE7B21">
        <w:rPr>
          <w:iCs/>
        </w:rPr>
        <w:t xml:space="preserve"> </w:t>
      </w:r>
      <w:r>
        <w:rPr>
          <w:iCs/>
        </w:rPr>
        <w:t xml:space="preserve">at uddanne flere rådgivere i de specialer. </w:t>
      </w:r>
    </w:p>
    <w:p w14:paraId="40C65989" w14:textId="3EE9BBDB" w:rsidR="00FB12AE" w:rsidRDefault="00FB12AE" w:rsidP="00FB12AE">
      <w:pPr>
        <w:rPr>
          <w:i/>
        </w:rPr>
      </w:pPr>
      <w:r w:rsidRPr="008A7225">
        <w:rPr>
          <w:b/>
        </w:rPr>
        <w:t>Ledelsesstruktur</w:t>
      </w:r>
      <w:r w:rsidRPr="008A7225">
        <w:t xml:space="preserve"> </w:t>
      </w:r>
    </w:p>
    <w:p w14:paraId="5901C88E" w14:textId="4D275182" w:rsidR="00120C90" w:rsidRDefault="00120C90" w:rsidP="00FB12AE">
      <w:pPr>
        <w:rPr>
          <w:iCs/>
        </w:rPr>
      </w:pPr>
      <w:r>
        <w:rPr>
          <w:iCs/>
        </w:rPr>
        <w:t xml:space="preserve">Der er i 2022 ansat en ny leder </w:t>
      </w:r>
      <w:r w:rsidR="00F25E36">
        <w:rPr>
          <w:iCs/>
        </w:rPr>
        <w:t>for</w:t>
      </w:r>
      <w:r>
        <w:rPr>
          <w:iCs/>
        </w:rPr>
        <w:t xml:space="preserve"> </w:t>
      </w:r>
      <w:r w:rsidR="00E12A18">
        <w:rPr>
          <w:iCs/>
        </w:rPr>
        <w:t xml:space="preserve">afdelingen, </w:t>
      </w:r>
      <w:r>
        <w:rPr>
          <w:iCs/>
        </w:rPr>
        <w:t xml:space="preserve">Syns- og </w:t>
      </w:r>
      <w:proofErr w:type="gramStart"/>
      <w:r>
        <w:rPr>
          <w:iCs/>
        </w:rPr>
        <w:t>IKT rådgivningen</w:t>
      </w:r>
      <w:proofErr w:type="gramEnd"/>
      <w:r w:rsidR="00F25E36">
        <w:rPr>
          <w:iCs/>
        </w:rPr>
        <w:t xml:space="preserve"> på ISHD</w:t>
      </w:r>
      <w:r w:rsidR="00705016">
        <w:rPr>
          <w:iCs/>
        </w:rPr>
        <w:t xml:space="preserve">. </w:t>
      </w:r>
    </w:p>
    <w:p w14:paraId="1465C140" w14:textId="77F40CAB" w:rsidR="00FB12AE" w:rsidRDefault="00FB12AE" w:rsidP="00FB12AE">
      <w:pPr>
        <w:rPr>
          <w:b/>
        </w:rPr>
      </w:pPr>
      <w:r w:rsidRPr="008A7225">
        <w:rPr>
          <w:b/>
        </w:rPr>
        <w:t xml:space="preserve">Kompetenceudvikling </w:t>
      </w:r>
    </w:p>
    <w:p w14:paraId="6CF06BC5" w14:textId="4EE24F83" w:rsidR="00120C90" w:rsidRDefault="00120C90" w:rsidP="00FB12AE">
      <w:pPr>
        <w:rPr>
          <w:bCs/>
        </w:rPr>
      </w:pPr>
      <w:r>
        <w:rPr>
          <w:bCs/>
        </w:rPr>
        <w:t xml:space="preserve">Der har været fokus på at uddanne </w:t>
      </w:r>
      <w:r w:rsidR="00E12A18">
        <w:rPr>
          <w:bCs/>
        </w:rPr>
        <w:t xml:space="preserve">medarbejdere </w:t>
      </w:r>
      <w:r>
        <w:rPr>
          <w:bCs/>
        </w:rPr>
        <w:t xml:space="preserve">i forhold til den stigende efterspørgsel af specialerne: APD, </w:t>
      </w:r>
      <w:proofErr w:type="spellStart"/>
      <w:r>
        <w:rPr>
          <w:bCs/>
        </w:rPr>
        <w:t>Tinitus</w:t>
      </w:r>
      <w:proofErr w:type="spellEnd"/>
      <w:r>
        <w:rPr>
          <w:bCs/>
        </w:rPr>
        <w:t xml:space="preserve"> og synsnedsættelse efter hjerneskade. </w:t>
      </w:r>
    </w:p>
    <w:p w14:paraId="0835AF87" w14:textId="096A13D0" w:rsidR="00120C90" w:rsidRPr="00120C90" w:rsidRDefault="00120C90" w:rsidP="00FB12AE">
      <w:pPr>
        <w:rPr>
          <w:bCs/>
          <w:i/>
        </w:rPr>
      </w:pPr>
      <w:r w:rsidRPr="00705016">
        <w:rPr>
          <w:bCs/>
        </w:rPr>
        <w:t>Der har været et generationsskifte i synsrådgivningen og derfor har nyansatte skulle igennem de lange specialeuddannelser,</w:t>
      </w:r>
      <w:r w:rsidRPr="000D1C61">
        <w:rPr>
          <w:bCs/>
        </w:rPr>
        <w:t xml:space="preserve"> som det kræver for at yde den specielle rådgivning.</w:t>
      </w:r>
    </w:p>
    <w:p w14:paraId="1EB37DFB" w14:textId="786EB7DF" w:rsidR="00FB12AE" w:rsidRDefault="00FB12AE" w:rsidP="00FB12AE">
      <w:r w:rsidRPr="008A7225">
        <w:rPr>
          <w:b/>
        </w:rPr>
        <w:lastRenderedPageBreak/>
        <w:t>Fysiske rammer</w:t>
      </w:r>
      <w:r w:rsidRPr="008A7225">
        <w:t xml:space="preserve"> </w:t>
      </w:r>
    </w:p>
    <w:p w14:paraId="2737C52A" w14:textId="3D5A7472" w:rsidR="00120C90" w:rsidRDefault="00120C90" w:rsidP="00FB12AE">
      <w:pPr>
        <w:rPr>
          <w:i/>
        </w:rPr>
      </w:pPr>
      <w:r>
        <w:t xml:space="preserve">De fysiske rammer for den borgerrettede aktivitet på instituttet og </w:t>
      </w:r>
      <w:r w:rsidR="00EE7B21">
        <w:t>satellitterne</w:t>
      </w:r>
      <w:r>
        <w:t xml:space="preserve"> rundt i</w:t>
      </w:r>
      <w:r w:rsidR="00EE7B21">
        <w:t xml:space="preserve"> Nordjylland </w:t>
      </w:r>
      <w:r>
        <w:t xml:space="preserve">er ikke ændret. Der har i 2022 været fokus på, hvordan man kan udnytte de virtuelle redskaber som en del af rådgivningen, da det er blevet mere etableret i de forskellige </w:t>
      </w:r>
      <w:proofErr w:type="gramStart"/>
      <w:r w:rsidR="00EE7B21">
        <w:t>hjem,</w:t>
      </w:r>
      <w:proofErr w:type="gramEnd"/>
      <w:r>
        <w:t xml:space="preserve"> at bruge den tekniske løsning.</w:t>
      </w:r>
    </w:p>
    <w:p w14:paraId="3514F218" w14:textId="0051A235" w:rsidR="000E373E" w:rsidRPr="00FB12AE" w:rsidRDefault="000E373E" w:rsidP="00F506D2">
      <w:pPr>
        <w:rPr>
          <w:i/>
        </w:rPr>
      </w:pPr>
    </w:p>
    <w:sectPr w:rsidR="000E373E" w:rsidRPr="00FB12AE" w:rsidSect="00624183">
      <w:headerReference w:type="first" r:id="rId11"/>
      <w:pgSz w:w="11906" w:h="16838" w:code="9"/>
      <w:pgMar w:top="2240" w:right="849" w:bottom="567" w:left="1418" w:header="567" w:footer="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9961" w14:textId="77777777" w:rsidR="0000763C" w:rsidRDefault="0000763C" w:rsidP="00EB6F10">
      <w:pPr>
        <w:spacing w:after="0"/>
      </w:pPr>
      <w:r>
        <w:separator/>
      </w:r>
    </w:p>
  </w:endnote>
  <w:endnote w:type="continuationSeparator" w:id="0">
    <w:p w14:paraId="342B58CA" w14:textId="77777777" w:rsidR="0000763C" w:rsidRDefault="0000763C" w:rsidP="00EB6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A678" w14:textId="77777777" w:rsidR="0000763C" w:rsidRDefault="0000763C" w:rsidP="00EB6F10">
      <w:pPr>
        <w:spacing w:after="0"/>
      </w:pPr>
      <w:r>
        <w:separator/>
      </w:r>
    </w:p>
  </w:footnote>
  <w:footnote w:type="continuationSeparator" w:id="0">
    <w:p w14:paraId="503806AC" w14:textId="77777777" w:rsidR="0000763C" w:rsidRDefault="0000763C" w:rsidP="00EB6F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4C4B" w14:textId="77777777" w:rsidR="00150833" w:rsidRDefault="00150833">
    <w:pPr>
      <w:pStyle w:val="Sidehoved"/>
    </w:pPr>
  </w:p>
  <w:sdt>
    <w:sdtPr>
      <w:id w:val="-1364136871"/>
      <w:lock w:val="sdtLocked"/>
    </w:sdtPr>
    <w:sdtEndPr/>
    <w:sdtContent>
      <w:p w14:paraId="11AA969E" w14:textId="77777777" w:rsidR="00150833" w:rsidRPr="00416107" w:rsidRDefault="00A456BA">
        <w:pPr>
          <w:pStyle w:val="Sidehoved"/>
          <w:rPr>
            <w:lang w:val="en-US"/>
          </w:rPr>
        </w:pPr>
      </w:p>
    </w:sdtContent>
  </w:sdt>
  <w:sdt>
    <w:sdtPr>
      <w:tag w:val="AakeDocNeutralTitel"/>
      <w:id w:val="-1955865876"/>
      <w:lock w:val="sdtLocked"/>
    </w:sdtPr>
    <w:sdtEndPr/>
    <w:sdtContent>
      <w:p w14:paraId="5860D5CF" w14:textId="77777777" w:rsidR="00150833" w:rsidRDefault="00150833">
        <w:pPr>
          <w:pStyle w:val="Sidehoved"/>
        </w:pPr>
        <w:r>
          <w:rPr>
            <w:color w:val="FFFFFF" w:themeColor="background1"/>
          </w:rPr>
          <w:t>Dagsorden til DAS den 12. august 2014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184644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A0F08A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ED778A"/>
    <w:multiLevelType w:val="hybridMultilevel"/>
    <w:tmpl w:val="7DDCC968"/>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13543FCC"/>
    <w:multiLevelType w:val="hybridMultilevel"/>
    <w:tmpl w:val="5EDC7158"/>
    <w:lvl w:ilvl="0" w:tplc="EA2A1232">
      <w:start w:val="9"/>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A1E349A"/>
    <w:multiLevelType w:val="multilevel"/>
    <w:tmpl w:val="2DBC0D7C"/>
    <w:lvl w:ilvl="0">
      <w:start w:val="1"/>
      <w:numFmt w:val="decimal"/>
      <w:pStyle w:val="DagsordenReferat-Opstilling"/>
      <w:lvlText w:val="%1."/>
      <w:lvlJc w:val="left"/>
      <w:pPr>
        <w:ind w:left="340" w:hanging="340"/>
      </w:pPr>
      <w:rPr>
        <w:rFonts w:hint="default"/>
        <w:b/>
        <w:sz w:val="22"/>
        <w:szCs w:val="20"/>
      </w:rPr>
    </w:lvl>
    <w:lvl w:ilvl="1">
      <w:start w:val="1"/>
      <w:numFmt w:val="lowerLetter"/>
      <w:lvlText w:val="%2."/>
      <w:lvlJc w:val="left"/>
      <w:pPr>
        <w:ind w:left="510" w:hanging="340"/>
      </w:pPr>
      <w:rPr>
        <w:rFonts w:hint="default"/>
      </w:rPr>
    </w:lvl>
    <w:lvl w:ilvl="2">
      <w:start w:val="1"/>
      <w:numFmt w:val="lowerRoman"/>
      <w:lvlText w:val="%3."/>
      <w:lvlJc w:val="right"/>
      <w:pPr>
        <w:ind w:left="964" w:hanging="340"/>
      </w:pPr>
      <w:rPr>
        <w:rFonts w:hint="default"/>
      </w:rPr>
    </w:lvl>
    <w:lvl w:ilvl="3">
      <w:start w:val="1"/>
      <w:numFmt w:val="decimal"/>
      <w:lvlText w:val="%4."/>
      <w:lvlJc w:val="left"/>
      <w:pPr>
        <w:ind w:left="1418" w:hanging="340"/>
      </w:pPr>
      <w:rPr>
        <w:rFonts w:hint="default"/>
      </w:rPr>
    </w:lvl>
    <w:lvl w:ilvl="4">
      <w:start w:val="1"/>
      <w:numFmt w:val="lowerLetter"/>
      <w:lvlText w:val="%5."/>
      <w:lvlJc w:val="left"/>
      <w:pPr>
        <w:ind w:left="1872" w:hanging="340"/>
      </w:pPr>
      <w:rPr>
        <w:rFonts w:hint="default"/>
      </w:rPr>
    </w:lvl>
    <w:lvl w:ilvl="5">
      <w:start w:val="1"/>
      <w:numFmt w:val="lowerRoman"/>
      <w:lvlText w:val="%6."/>
      <w:lvlJc w:val="right"/>
      <w:pPr>
        <w:ind w:left="2326" w:hanging="340"/>
      </w:pPr>
      <w:rPr>
        <w:rFonts w:hint="default"/>
      </w:rPr>
    </w:lvl>
    <w:lvl w:ilvl="6">
      <w:start w:val="1"/>
      <w:numFmt w:val="decimal"/>
      <w:lvlText w:val="%7."/>
      <w:lvlJc w:val="left"/>
      <w:pPr>
        <w:ind w:left="2780" w:hanging="340"/>
      </w:pPr>
      <w:rPr>
        <w:rFonts w:hint="default"/>
      </w:rPr>
    </w:lvl>
    <w:lvl w:ilvl="7">
      <w:start w:val="1"/>
      <w:numFmt w:val="lowerLetter"/>
      <w:lvlText w:val="%8."/>
      <w:lvlJc w:val="left"/>
      <w:pPr>
        <w:ind w:left="3234" w:hanging="340"/>
      </w:pPr>
      <w:rPr>
        <w:rFonts w:hint="default"/>
      </w:rPr>
    </w:lvl>
    <w:lvl w:ilvl="8">
      <w:start w:val="1"/>
      <w:numFmt w:val="lowerRoman"/>
      <w:lvlText w:val="%9."/>
      <w:lvlJc w:val="right"/>
      <w:pPr>
        <w:ind w:left="3688" w:hanging="340"/>
      </w:pPr>
      <w:rPr>
        <w:rFonts w:hint="default"/>
      </w:rPr>
    </w:lvl>
  </w:abstractNum>
  <w:abstractNum w:abstractNumId="5" w15:restartNumberingAfterBreak="0">
    <w:nsid w:val="1D5A3D2E"/>
    <w:multiLevelType w:val="hybridMultilevel"/>
    <w:tmpl w:val="51F468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D51E46"/>
    <w:multiLevelType w:val="hybridMultilevel"/>
    <w:tmpl w:val="38B616BC"/>
    <w:lvl w:ilvl="0" w:tplc="1108CE76">
      <w:start w:val="2"/>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974805"/>
    <w:multiLevelType w:val="hybridMultilevel"/>
    <w:tmpl w:val="44561778"/>
    <w:lvl w:ilvl="0" w:tplc="04060003">
      <w:start w:val="1"/>
      <w:numFmt w:val="bullet"/>
      <w:lvlText w:val="o"/>
      <w:lvlJc w:val="left"/>
      <w:pPr>
        <w:ind w:left="2024" w:hanging="360"/>
      </w:pPr>
      <w:rPr>
        <w:rFonts w:ascii="Courier New" w:hAnsi="Courier New" w:cs="Courier New" w:hint="default"/>
      </w:rPr>
    </w:lvl>
    <w:lvl w:ilvl="1" w:tplc="04060003">
      <w:start w:val="1"/>
      <w:numFmt w:val="bullet"/>
      <w:lvlText w:val="o"/>
      <w:lvlJc w:val="left"/>
      <w:pPr>
        <w:ind w:left="2744" w:hanging="360"/>
      </w:pPr>
      <w:rPr>
        <w:rFonts w:ascii="Courier New" w:hAnsi="Courier New" w:cs="Courier New" w:hint="default"/>
      </w:rPr>
    </w:lvl>
    <w:lvl w:ilvl="2" w:tplc="04060005">
      <w:start w:val="1"/>
      <w:numFmt w:val="bullet"/>
      <w:lvlText w:val=""/>
      <w:lvlJc w:val="left"/>
      <w:pPr>
        <w:ind w:left="3464" w:hanging="360"/>
      </w:pPr>
      <w:rPr>
        <w:rFonts w:ascii="Wingdings" w:hAnsi="Wingdings" w:hint="default"/>
      </w:rPr>
    </w:lvl>
    <w:lvl w:ilvl="3" w:tplc="04060001">
      <w:start w:val="1"/>
      <w:numFmt w:val="bullet"/>
      <w:lvlText w:val=""/>
      <w:lvlJc w:val="left"/>
      <w:pPr>
        <w:ind w:left="4184" w:hanging="360"/>
      </w:pPr>
      <w:rPr>
        <w:rFonts w:ascii="Symbol" w:hAnsi="Symbol" w:hint="default"/>
      </w:rPr>
    </w:lvl>
    <w:lvl w:ilvl="4" w:tplc="04060003">
      <w:start w:val="1"/>
      <w:numFmt w:val="bullet"/>
      <w:lvlText w:val="o"/>
      <w:lvlJc w:val="left"/>
      <w:pPr>
        <w:ind w:left="4904" w:hanging="360"/>
      </w:pPr>
      <w:rPr>
        <w:rFonts w:ascii="Courier New" w:hAnsi="Courier New" w:cs="Courier New" w:hint="default"/>
      </w:rPr>
    </w:lvl>
    <w:lvl w:ilvl="5" w:tplc="04060005">
      <w:start w:val="1"/>
      <w:numFmt w:val="bullet"/>
      <w:lvlText w:val=""/>
      <w:lvlJc w:val="left"/>
      <w:pPr>
        <w:ind w:left="5624" w:hanging="360"/>
      </w:pPr>
      <w:rPr>
        <w:rFonts w:ascii="Wingdings" w:hAnsi="Wingdings" w:hint="default"/>
      </w:rPr>
    </w:lvl>
    <w:lvl w:ilvl="6" w:tplc="04060001">
      <w:start w:val="1"/>
      <w:numFmt w:val="bullet"/>
      <w:lvlText w:val=""/>
      <w:lvlJc w:val="left"/>
      <w:pPr>
        <w:ind w:left="6344" w:hanging="360"/>
      </w:pPr>
      <w:rPr>
        <w:rFonts w:ascii="Symbol" w:hAnsi="Symbol" w:hint="default"/>
      </w:rPr>
    </w:lvl>
    <w:lvl w:ilvl="7" w:tplc="04060003">
      <w:start w:val="1"/>
      <w:numFmt w:val="bullet"/>
      <w:lvlText w:val="o"/>
      <w:lvlJc w:val="left"/>
      <w:pPr>
        <w:ind w:left="7064" w:hanging="360"/>
      </w:pPr>
      <w:rPr>
        <w:rFonts w:ascii="Courier New" w:hAnsi="Courier New" w:cs="Courier New" w:hint="default"/>
      </w:rPr>
    </w:lvl>
    <w:lvl w:ilvl="8" w:tplc="04060005">
      <w:start w:val="1"/>
      <w:numFmt w:val="bullet"/>
      <w:lvlText w:val=""/>
      <w:lvlJc w:val="left"/>
      <w:pPr>
        <w:ind w:left="7784" w:hanging="360"/>
      </w:pPr>
      <w:rPr>
        <w:rFonts w:ascii="Wingdings" w:hAnsi="Wingdings" w:hint="default"/>
      </w:rPr>
    </w:lvl>
  </w:abstractNum>
  <w:abstractNum w:abstractNumId="8" w15:restartNumberingAfterBreak="0">
    <w:nsid w:val="3BCD56AA"/>
    <w:multiLevelType w:val="hybridMultilevel"/>
    <w:tmpl w:val="14FC5A78"/>
    <w:lvl w:ilvl="0" w:tplc="04060003">
      <w:start w:val="1"/>
      <w:numFmt w:val="bullet"/>
      <w:lvlText w:val="o"/>
      <w:lvlJc w:val="left"/>
      <w:pPr>
        <w:ind w:left="1440" w:hanging="360"/>
      </w:pPr>
      <w:rPr>
        <w:rFonts w:ascii="Courier New" w:hAnsi="Courier New" w:cs="Courier New" w:hint="default"/>
      </w:rPr>
    </w:lvl>
    <w:lvl w:ilvl="1" w:tplc="04060001">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9" w15:restartNumberingAfterBreak="0">
    <w:nsid w:val="45CA2BDA"/>
    <w:multiLevelType w:val="hybridMultilevel"/>
    <w:tmpl w:val="D284BE4A"/>
    <w:lvl w:ilvl="0" w:tplc="04060001">
      <w:start w:val="1"/>
      <w:numFmt w:val="bullet"/>
      <w:lvlText w:val=""/>
      <w:lvlJc w:val="left"/>
      <w:pPr>
        <w:ind w:left="1440" w:hanging="360"/>
      </w:pPr>
      <w:rPr>
        <w:rFonts w:ascii="Symbol" w:hAnsi="Symbol" w:hint="default"/>
      </w:rPr>
    </w:lvl>
    <w:lvl w:ilvl="1" w:tplc="04060001">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0" w15:restartNumberingAfterBreak="0">
    <w:nsid w:val="492305C0"/>
    <w:multiLevelType w:val="hybridMultilevel"/>
    <w:tmpl w:val="F0F0C87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4DAF75F8"/>
    <w:multiLevelType w:val="hybridMultilevel"/>
    <w:tmpl w:val="B498B690"/>
    <w:lvl w:ilvl="0" w:tplc="CBDC6890">
      <w:start w:val="9"/>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05807F8"/>
    <w:multiLevelType w:val="hybridMultilevel"/>
    <w:tmpl w:val="DE7486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140D60"/>
    <w:multiLevelType w:val="hybridMultilevel"/>
    <w:tmpl w:val="9EF8FB9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5E1D5A28"/>
    <w:multiLevelType w:val="multilevel"/>
    <w:tmpl w:val="BE7E7B16"/>
    <w:lvl w:ilvl="0">
      <w:start w:val="1"/>
      <w:numFmt w:val="bullet"/>
      <w:pStyle w:val="Opstilling-punkttegn"/>
      <w:lvlText w:val=""/>
      <w:lvlJc w:val="left"/>
      <w:pPr>
        <w:ind w:left="397" w:hanging="397"/>
      </w:pPr>
      <w:rPr>
        <w:rFonts w:ascii="Symbol" w:hAnsi="Symbol" w:hint="default"/>
      </w:rPr>
    </w:lvl>
    <w:lvl w:ilvl="1">
      <w:start w:val="1"/>
      <w:numFmt w:val="bullet"/>
      <w:pStyle w:val="Opstilling-punkttegn2"/>
      <w:lvlText w:val=""/>
      <w:lvlJc w:val="left"/>
      <w:pPr>
        <w:tabs>
          <w:tab w:val="num" w:pos="1077"/>
        </w:tabs>
        <w:ind w:left="794" w:hanging="397"/>
      </w:pPr>
      <w:rPr>
        <w:rFonts w:ascii="Symbol" w:hAnsi="Symbol" w:hint="default"/>
      </w:rPr>
    </w:lvl>
    <w:lvl w:ilvl="2">
      <w:start w:val="1"/>
      <w:numFmt w:val="bullet"/>
      <w:pStyle w:val="Opstilling-punkttegn3"/>
      <w:lvlText w:val=""/>
      <w:lvlJc w:val="left"/>
      <w:pPr>
        <w:tabs>
          <w:tab w:val="num" w:pos="1474"/>
        </w:tabs>
        <w:ind w:left="1191" w:hanging="397"/>
      </w:pPr>
      <w:rPr>
        <w:rFonts w:ascii="Symbol" w:hAnsi="Symbol" w:hint="default"/>
      </w:rPr>
    </w:lvl>
    <w:lvl w:ilvl="3">
      <w:start w:val="1"/>
      <w:numFmt w:val="bullet"/>
      <w:pStyle w:val="Opstilling-punkttegn4"/>
      <w:lvlText w:val=""/>
      <w:lvlJc w:val="left"/>
      <w:pPr>
        <w:ind w:left="1191" w:hanging="397"/>
      </w:pPr>
      <w:rPr>
        <w:rFonts w:ascii="Symbol" w:hAnsi="Symbol" w:hint="default"/>
      </w:rPr>
    </w:lvl>
    <w:lvl w:ilvl="4">
      <w:start w:val="1"/>
      <w:numFmt w:val="bullet"/>
      <w:lvlText w:val=""/>
      <w:lvlJc w:val="left"/>
      <w:pPr>
        <w:tabs>
          <w:tab w:val="num" w:pos="2268"/>
        </w:tabs>
        <w:ind w:left="1985" w:hanging="397"/>
      </w:pPr>
      <w:rPr>
        <w:rFonts w:ascii="Symbol" w:hAnsi="Symbol" w:hint="default"/>
      </w:rPr>
    </w:lvl>
    <w:lvl w:ilvl="5">
      <w:start w:val="1"/>
      <w:numFmt w:val="bullet"/>
      <w:lvlText w:val=""/>
      <w:lvlJc w:val="left"/>
      <w:pPr>
        <w:tabs>
          <w:tab w:val="num" w:pos="2665"/>
        </w:tabs>
        <w:ind w:left="2382" w:hanging="397"/>
      </w:pPr>
      <w:rPr>
        <w:rFonts w:ascii="Symbol" w:hAnsi="Symbol" w:hint="default"/>
      </w:rPr>
    </w:lvl>
    <w:lvl w:ilvl="6">
      <w:start w:val="1"/>
      <w:numFmt w:val="bullet"/>
      <w:lvlText w:val=""/>
      <w:lvlJc w:val="left"/>
      <w:pPr>
        <w:tabs>
          <w:tab w:val="num" w:pos="3062"/>
        </w:tabs>
        <w:ind w:left="2779" w:hanging="397"/>
      </w:pPr>
      <w:rPr>
        <w:rFonts w:ascii="Symbol" w:hAnsi="Symbol" w:hint="default"/>
      </w:rPr>
    </w:lvl>
    <w:lvl w:ilvl="7">
      <w:start w:val="1"/>
      <w:numFmt w:val="bullet"/>
      <w:lvlText w:val=""/>
      <w:lvlJc w:val="left"/>
      <w:pPr>
        <w:tabs>
          <w:tab w:val="num" w:pos="3459"/>
        </w:tabs>
        <w:ind w:left="3176" w:hanging="397"/>
      </w:pPr>
      <w:rPr>
        <w:rFonts w:ascii="Symbol" w:hAnsi="Symbol" w:hint="default"/>
      </w:rPr>
    </w:lvl>
    <w:lvl w:ilvl="8">
      <w:start w:val="1"/>
      <w:numFmt w:val="bullet"/>
      <w:lvlText w:val=""/>
      <w:lvlJc w:val="left"/>
      <w:pPr>
        <w:tabs>
          <w:tab w:val="num" w:pos="3856"/>
        </w:tabs>
        <w:ind w:left="3573" w:hanging="397"/>
      </w:pPr>
      <w:rPr>
        <w:rFonts w:ascii="Symbol" w:hAnsi="Symbol" w:hint="default"/>
      </w:rPr>
    </w:lvl>
  </w:abstractNum>
  <w:abstractNum w:abstractNumId="15" w15:restartNumberingAfterBreak="0">
    <w:nsid w:val="5FF05512"/>
    <w:multiLevelType w:val="hybridMultilevel"/>
    <w:tmpl w:val="AB9AAAF6"/>
    <w:lvl w:ilvl="0" w:tplc="04060003">
      <w:start w:val="1"/>
      <w:numFmt w:val="bullet"/>
      <w:lvlText w:val="o"/>
      <w:lvlJc w:val="left"/>
      <w:pPr>
        <w:ind w:left="1440" w:hanging="360"/>
      </w:pPr>
      <w:rPr>
        <w:rFonts w:ascii="Courier New" w:hAnsi="Courier New" w:cs="Courier New" w:hint="default"/>
      </w:rPr>
    </w:lvl>
    <w:lvl w:ilvl="1" w:tplc="04060001">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6" w15:restartNumberingAfterBreak="0">
    <w:nsid w:val="67C4080F"/>
    <w:multiLevelType w:val="hybridMultilevel"/>
    <w:tmpl w:val="721061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7FE11BC"/>
    <w:multiLevelType w:val="hybridMultilevel"/>
    <w:tmpl w:val="B8B22B20"/>
    <w:lvl w:ilvl="0" w:tplc="04060001">
      <w:start w:val="1"/>
      <w:numFmt w:val="bullet"/>
      <w:lvlText w:val=""/>
      <w:lvlJc w:val="left"/>
      <w:pPr>
        <w:ind w:left="1440" w:hanging="360"/>
      </w:pPr>
      <w:rPr>
        <w:rFonts w:ascii="Symbol" w:hAnsi="Symbol" w:hint="default"/>
      </w:rPr>
    </w:lvl>
    <w:lvl w:ilvl="1" w:tplc="E8E88D22">
      <w:numFmt w:val="bullet"/>
      <w:lvlText w:val="-"/>
      <w:lvlJc w:val="left"/>
      <w:pPr>
        <w:ind w:left="2160" w:hanging="360"/>
      </w:pPr>
      <w:rPr>
        <w:rFonts w:ascii="Arial" w:eastAsiaTheme="minorEastAsia" w:hAnsi="Arial" w:cs="Arial"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7E0E2669"/>
    <w:multiLevelType w:val="hybridMultilevel"/>
    <w:tmpl w:val="201886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num>
  <w:num w:numId="4">
    <w:abstractNumId w:val="14"/>
  </w:num>
  <w:num w:numId="5">
    <w:abstractNumId w:val="16"/>
  </w:num>
  <w:num w:numId="6">
    <w:abstractNumId w:val="12"/>
  </w:num>
  <w:num w:numId="7">
    <w:abstractNumId w:val="13"/>
  </w:num>
  <w:num w:numId="8">
    <w:abstractNumId w:val="10"/>
  </w:num>
  <w:num w:numId="9">
    <w:abstractNumId w:val="17"/>
  </w:num>
  <w:num w:numId="10">
    <w:abstractNumId w:val="2"/>
  </w:num>
  <w:num w:numId="11">
    <w:abstractNumId w:val="1"/>
  </w:num>
  <w:num w:numId="12">
    <w:abstractNumId w:val="5"/>
  </w:num>
  <w:num w:numId="13">
    <w:abstractNumId w:val="18"/>
  </w:num>
  <w:num w:numId="14">
    <w:abstractNumId w:val="9"/>
  </w:num>
  <w:num w:numId="15">
    <w:abstractNumId w:val="7"/>
  </w:num>
  <w:num w:numId="16">
    <w:abstractNumId w:val="8"/>
  </w:num>
  <w:num w:numId="17">
    <w:abstractNumId w:val="15"/>
  </w:num>
  <w:num w:numId="18">
    <w:abstractNumId w:val="6"/>
  </w:num>
  <w:num w:numId="19">
    <w:abstractNumId w:val="3"/>
  </w:num>
  <w:num w:numId="2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C4"/>
    <w:rsid w:val="00001209"/>
    <w:rsid w:val="00003157"/>
    <w:rsid w:val="0000763C"/>
    <w:rsid w:val="000134FD"/>
    <w:rsid w:val="00020EDB"/>
    <w:rsid w:val="00024B7C"/>
    <w:rsid w:val="00025B7F"/>
    <w:rsid w:val="00030A1B"/>
    <w:rsid w:val="00036797"/>
    <w:rsid w:val="00040881"/>
    <w:rsid w:val="0004567B"/>
    <w:rsid w:val="0005708E"/>
    <w:rsid w:val="00061702"/>
    <w:rsid w:val="00072BDC"/>
    <w:rsid w:val="00072CEE"/>
    <w:rsid w:val="00073E3C"/>
    <w:rsid w:val="00073EA2"/>
    <w:rsid w:val="00080876"/>
    <w:rsid w:val="00082D61"/>
    <w:rsid w:val="00085972"/>
    <w:rsid w:val="0009284B"/>
    <w:rsid w:val="000A30B3"/>
    <w:rsid w:val="000A7333"/>
    <w:rsid w:val="000B2742"/>
    <w:rsid w:val="000C2B19"/>
    <w:rsid w:val="000D1C61"/>
    <w:rsid w:val="000D22A9"/>
    <w:rsid w:val="000D7CE3"/>
    <w:rsid w:val="000E239A"/>
    <w:rsid w:val="000E247B"/>
    <w:rsid w:val="000E373E"/>
    <w:rsid w:val="000E490F"/>
    <w:rsid w:val="000E6020"/>
    <w:rsid w:val="000E79D0"/>
    <w:rsid w:val="000F0EC7"/>
    <w:rsid w:val="001025C3"/>
    <w:rsid w:val="00106DC1"/>
    <w:rsid w:val="0010785E"/>
    <w:rsid w:val="00114D90"/>
    <w:rsid w:val="00116454"/>
    <w:rsid w:val="00120C0B"/>
    <w:rsid w:val="00120C90"/>
    <w:rsid w:val="00123759"/>
    <w:rsid w:val="0012385A"/>
    <w:rsid w:val="00125FE7"/>
    <w:rsid w:val="00126BB6"/>
    <w:rsid w:val="001276C4"/>
    <w:rsid w:val="0012777B"/>
    <w:rsid w:val="00145988"/>
    <w:rsid w:val="0014799C"/>
    <w:rsid w:val="00150833"/>
    <w:rsid w:val="00153384"/>
    <w:rsid w:val="00156051"/>
    <w:rsid w:val="00157588"/>
    <w:rsid w:val="00161E9B"/>
    <w:rsid w:val="00165495"/>
    <w:rsid w:val="001700FC"/>
    <w:rsid w:val="001712E9"/>
    <w:rsid w:val="00175827"/>
    <w:rsid w:val="00176371"/>
    <w:rsid w:val="0017794F"/>
    <w:rsid w:val="00182467"/>
    <w:rsid w:val="00183C31"/>
    <w:rsid w:val="0018623F"/>
    <w:rsid w:val="0018765A"/>
    <w:rsid w:val="00192244"/>
    <w:rsid w:val="00196327"/>
    <w:rsid w:val="00197965"/>
    <w:rsid w:val="001A0D81"/>
    <w:rsid w:val="001A3D13"/>
    <w:rsid w:val="001A4E78"/>
    <w:rsid w:val="001B586E"/>
    <w:rsid w:val="001B7D62"/>
    <w:rsid w:val="001C1D9A"/>
    <w:rsid w:val="001C2CB0"/>
    <w:rsid w:val="001C6244"/>
    <w:rsid w:val="001C685B"/>
    <w:rsid w:val="001D29AB"/>
    <w:rsid w:val="001D319B"/>
    <w:rsid w:val="001E11D9"/>
    <w:rsid w:val="001E710B"/>
    <w:rsid w:val="001F0826"/>
    <w:rsid w:val="001F0AF6"/>
    <w:rsid w:val="001F2C61"/>
    <w:rsid w:val="002127AC"/>
    <w:rsid w:val="00213535"/>
    <w:rsid w:val="002141F5"/>
    <w:rsid w:val="00214A73"/>
    <w:rsid w:val="00215F5D"/>
    <w:rsid w:val="00217489"/>
    <w:rsid w:val="002203E7"/>
    <w:rsid w:val="002338F8"/>
    <w:rsid w:val="0023542B"/>
    <w:rsid w:val="00235465"/>
    <w:rsid w:val="00241AA8"/>
    <w:rsid w:val="00244729"/>
    <w:rsid w:val="0025377B"/>
    <w:rsid w:val="002539D9"/>
    <w:rsid w:val="00266F72"/>
    <w:rsid w:val="00270C5F"/>
    <w:rsid w:val="00275A66"/>
    <w:rsid w:val="0027606B"/>
    <w:rsid w:val="00277CA6"/>
    <w:rsid w:val="00281243"/>
    <w:rsid w:val="002825BB"/>
    <w:rsid w:val="00284E60"/>
    <w:rsid w:val="00291150"/>
    <w:rsid w:val="0029461B"/>
    <w:rsid w:val="002A28C2"/>
    <w:rsid w:val="002A3629"/>
    <w:rsid w:val="002A3890"/>
    <w:rsid w:val="002A3C3E"/>
    <w:rsid w:val="002A674F"/>
    <w:rsid w:val="002A7ADB"/>
    <w:rsid w:val="002B0B04"/>
    <w:rsid w:val="002C4143"/>
    <w:rsid w:val="002E6FC5"/>
    <w:rsid w:val="002F4815"/>
    <w:rsid w:val="002F5327"/>
    <w:rsid w:val="00300282"/>
    <w:rsid w:val="00305BED"/>
    <w:rsid w:val="00305E43"/>
    <w:rsid w:val="00310D5F"/>
    <w:rsid w:val="003130CB"/>
    <w:rsid w:val="0031562B"/>
    <w:rsid w:val="00317CF8"/>
    <w:rsid w:val="00317D33"/>
    <w:rsid w:val="00317E75"/>
    <w:rsid w:val="003220E9"/>
    <w:rsid w:val="00331D06"/>
    <w:rsid w:val="0033216B"/>
    <w:rsid w:val="003321EF"/>
    <w:rsid w:val="003404D9"/>
    <w:rsid w:val="00343064"/>
    <w:rsid w:val="00352C7B"/>
    <w:rsid w:val="00356991"/>
    <w:rsid w:val="003578D6"/>
    <w:rsid w:val="00360225"/>
    <w:rsid w:val="0036040D"/>
    <w:rsid w:val="00360B3B"/>
    <w:rsid w:val="003621EC"/>
    <w:rsid w:val="0036331B"/>
    <w:rsid w:val="0036563E"/>
    <w:rsid w:val="00387BDB"/>
    <w:rsid w:val="00394C71"/>
    <w:rsid w:val="003A3365"/>
    <w:rsid w:val="003A3681"/>
    <w:rsid w:val="003B0162"/>
    <w:rsid w:val="003B20FB"/>
    <w:rsid w:val="003B6194"/>
    <w:rsid w:val="003C1273"/>
    <w:rsid w:val="003C4434"/>
    <w:rsid w:val="003C7C81"/>
    <w:rsid w:val="003D003B"/>
    <w:rsid w:val="003D2EA9"/>
    <w:rsid w:val="003D2F5D"/>
    <w:rsid w:val="003D57AD"/>
    <w:rsid w:val="003D6FE1"/>
    <w:rsid w:val="003E096D"/>
    <w:rsid w:val="003E5C41"/>
    <w:rsid w:val="003E6682"/>
    <w:rsid w:val="003E6BD0"/>
    <w:rsid w:val="003F6236"/>
    <w:rsid w:val="0040594B"/>
    <w:rsid w:val="004061BD"/>
    <w:rsid w:val="00406FB0"/>
    <w:rsid w:val="0041006C"/>
    <w:rsid w:val="00412FBF"/>
    <w:rsid w:val="00415679"/>
    <w:rsid w:val="00416107"/>
    <w:rsid w:val="004303D4"/>
    <w:rsid w:val="00430725"/>
    <w:rsid w:val="00430BAD"/>
    <w:rsid w:val="00431ACB"/>
    <w:rsid w:val="0043300F"/>
    <w:rsid w:val="00435C73"/>
    <w:rsid w:val="004439B2"/>
    <w:rsid w:val="0044557B"/>
    <w:rsid w:val="00451A15"/>
    <w:rsid w:val="00454047"/>
    <w:rsid w:val="004552EE"/>
    <w:rsid w:val="00461F5F"/>
    <w:rsid w:val="0047081E"/>
    <w:rsid w:val="00471248"/>
    <w:rsid w:val="004730CB"/>
    <w:rsid w:val="004756E2"/>
    <w:rsid w:val="00475885"/>
    <w:rsid w:val="00475BD3"/>
    <w:rsid w:val="00476D80"/>
    <w:rsid w:val="00481E01"/>
    <w:rsid w:val="00481F8F"/>
    <w:rsid w:val="00492B29"/>
    <w:rsid w:val="004B2A14"/>
    <w:rsid w:val="004B2D9B"/>
    <w:rsid w:val="004B417B"/>
    <w:rsid w:val="004B7080"/>
    <w:rsid w:val="004B7433"/>
    <w:rsid w:val="004C0862"/>
    <w:rsid w:val="004D528B"/>
    <w:rsid w:val="004D7807"/>
    <w:rsid w:val="004E4B0E"/>
    <w:rsid w:val="004E5F87"/>
    <w:rsid w:val="004E6ADC"/>
    <w:rsid w:val="004F1784"/>
    <w:rsid w:val="004F3648"/>
    <w:rsid w:val="004F4780"/>
    <w:rsid w:val="004F5632"/>
    <w:rsid w:val="004F6A28"/>
    <w:rsid w:val="00501A49"/>
    <w:rsid w:val="00503B6A"/>
    <w:rsid w:val="00504BCE"/>
    <w:rsid w:val="00506A23"/>
    <w:rsid w:val="00511740"/>
    <w:rsid w:val="005126FE"/>
    <w:rsid w:val="00514F56"/>
    <w:rsid w:val="00516ED2"/>
    <w:rsid w:val="00526DC2"/>
    <w:rsid w:val="00526F27"/>
    <w:rsid w:val="005277EB"/>
    <w:rsid w:val="00530C76"/>
    <w:rsid w:val="00536AEE"/>
    <w:rsid w:val="005377D8"/>
    <w:rsid w:val="00551E51"/>
    <w:rsid w:val="00566C21"/>
    <w:rsid w:val="0057022B"/>
    <w:rsid w:val="005703CA"/>
    <w:rsid w:val="00570A93"/>
    <w:rsid w:val="005759FB"/>
    <w:rsid w:val="0058420A"/>
    <w:rsid w:val="00584C87"/>
    <w:rsid w:val="00586B49"/>
    <w:rsid w:val="00587521"/>
    <w:rsid w:val="005878B4"/>
    <w:rsid w:val="00587EE3"/>
    <w:rsid w:val="00596011"/>
    <w:rsid w:val="005A2573"/>
    <w:rsid w:val="005A3195"/>
    <w:rsid w:val="005A43F7"/>
    <w:rsid w:val="005B28C9"/>
    <w:rsid w:val="005B3D63"/>
    <w:rsid w:val="005B6B7C"/>
    <w:rsid w:val="005C31D3"/>
    <w:rsid w:val="005C3EFC"/>
    <w:rsid w:val="005C496A"/>
    <w:rsid w:val="005C49C7"/>
    <w:rsid w:val="005C543B"/>
    <w:rsid w:val="005C60C8"/>
    <w:rsid w:val="005C6615"/>
    <w:rsid w:val="005C67BD"/>
    <w:rsid w:val="005C685A"/>
    <w:rsid w:val="005C69D7"/>
    <w:rsid w:val="005C732D"/>
    <w:rsid w:val="005C7BC4"/>
    <w:rsid w:val="005D015E"/>
    <w:rsid w:val="005D4F73"/>
    <w:rsid w:val="005F093B"/>
    <w:rsid w:val="005F1826"/>
    <w:rsid w:val="005F2775"/>
    <w:rsid w:val="005F3412"/>
    <w:rsid w:val="005F37B2"/>
    <w:rsid w:val="006036BB"/>
    <w:rsid w:val="006126C2"/>
    <w:rsid w:val="006201DB"/>
    <w:rsid w:val="006202DE"/>
    <w:rsid w:val="006213EE"/>
    <w:rsid w:val="0062334D"/>
    <w:rsid w:val="00624183"/>
    <w:rsid w:val="00625C7E"/>
    <w:rsid w:val="006263EF"/>
    <w:rsid w:val="00627FE5"/>
    <w:rsid w:val="006446F6"/>
    <w:rsid w:val="00647BA2"/>
    <w:rsid w:val="00650500"/>
    <w:rsid w:val="00655475"/>
    <w:rsid w:val="00655C5E"/>
    <w:rsid w:val="0066442E"/>
    <w:rsid w:val="00664BE5"/>
    <w:rsid w:val="00673517"/>
    <w:rsid w:val="00675C2F"/>
    <w:rsid w:val="00676311"/>
    <w:rsid w:val="0068277E"/>
    <w:rsid w:val="00684ADF"/>
    <w:rsid w:val="0069044B"/>
    <w:rsid w:val="006912FA"/>
    <w:rsid w:val="00691CFC"/>
    <w:rsid w:val="00695BD1"/>
    <w:rsid w:val="00696EAC"/>
    <w:rsid w:val="0069743E"/>
    <w:rsid w:val="006A0819"/>
    <w:rsid w:val="006A1419"/>
    <w:rsid w:val="006A46B3"/>
    <w:rsid w:val="006A5B52"/>
    <w:rsid w:val="006A6FD3"/>
    <w:rsid w:val="006B4396"/>
    <w:rsid w:val="006B488C"/>
    <w:rsid w:val="006B76BD"/>
    <w:rsid w:val="006B7A43"/>
    <w:rsid w:val="006C0FAE"/>
    <w:rsid w:val="006C3E4E"/>
    <w:rsid w:val="006C406F"/>
    <w:rsid w:val="006C4F8A"/>
    <w:rsid w:val="006D1CF2"/>
    <w:rsid w:val="006D57BD"/>
    <w:rsid w:val="006D7E44"/>
    <w:rsid w:val="006E0308"/>
    <w:rsid w:val="006E613F"/>
    <w:rsid w:val="006E6D5F"/>
    <w:rsid w:val="006E787C"/>
    <w:rsid w:val="006F3949"/>
    <w:rsid w:val="006F60DB"/>
    <w:rsid w:val="007028F9"/>
    <w:rsid w:val="00702E67"/>
    <w:rsid w:val="00705016"/>
    <w:rsid w:val="00705A6B"/>
    <w:rsid w:val="00706208"/>
    <w:rsid w:val="00716441"/>
    <w:rsid w:val="00721D1F"/>
    <w:rsid w:val="00740203"/>
    <w:rsid w:val="00742957"/>
    <w:rsid w:val="00744C81"/>
    <w:rsid w:val="00746E64"/>
    <w:rsid w:val="00750AAD"/>
    <w:rsid w:val="0076026C"/>
    <w:rsid w:val="0076260E"/>
    <w:rsid w:val="00763EAC"/>
    <w:rsid w:val="00764404"/>
    <w:rsid w:val="007761EB"/>
    <w:rsid w:val="00776377"/>
    <w:rsid w:val="00776576"/>
    <w:rsid w:val="0077700F"/>
    <w:rsid w:val="00785909"/>
    <w:rsid w:val="007903A4"/>
    <w:rsid w:val="007A0848"/>
    <w:rsid w:val="007A3666"/>
    <w:rsid w:val="007A646B"/>
    <w:rsid w:val="007B6FB4"/>
    <w:rsid w:val="007D1B8B"/>
    <w:rsid w:val="007D4196"/>
    <w:rsid w:val="007D4B66"/>
    <w:rsid w:val="007F1993"/>
    <w:rsid w:val="00803F98"/>
    <w:rsid w:val="00805F8D"/>
    <w:rsid w:val="00811128"/>
    <w:rsid w:val="00811BC6"/>
    <w:rsid w:val="00817E23"/>
    <w:rsid w:val="008221AA"/>
    <w:rsid w:val="00822EDD"/>
    <w:rsid w:val="00823CD0"/>
    <w:rsid w:val="008324B9"/>
    <w:rsid w:val="00833234"/>
    <w:rsid w:val="00835077"/>
    <w:rsid w:val="00837795"/>
    <w:rsid w:val="008456AD"/>
    <w:rsid w:val="00845A57"/>
    <w:rsid w:val="00861533"/>
    <w:rsid w:val="00863A01"/>
    <w:rsid w:val="008667A0"/>
    <w:rsid w:val="00870A1F"/>
    <w:rsid w:val="0087266B"/>
    <w:rsid w:val="00872C5C"/>
    <w:rsid w:val="00877105"/>
    <w:rsid w:val="00881E3A"/>
    <w:rsid w:val="00882463"/>
    <w:rsid w:val="00891F56"/>
    <w:rsid w:val="00892EE6"/>
    <w:rsid w:val="008A2F70"/>
    <w:rsid w:val="008A351E"/>
    <w:rsid w:val="008A6D5E"/>
    <w:rsid w:val="008A7225"/>
    <w:rsid w:val="008B0C2B"/>
    <w:rsid w:val="008B1885"/>
    <w:rsid w:val="008B206F"/>
    <w:rsid w:val="008B6558"/>
    <w:rsid w:val="008B6677"/>
    <w:rsid w:val="008C134C"/>
    <w:rsid w:val="008C13C0"/>
    <w:rsid w:val="008C3EE5"/>
    <w:rsid w:val="008C5CB3"/>
    <w:rsid w:val="008D0DDA"/>
    <w:rsid w:val="008D1661"/>
    <w:rsid w:val="008D2FD4"/>
    <w:rsid w:val="008D3E51"/>
    <w:rsid w:val="008D5020"/>
    <w:rsid w:val="008E175D"/>
    <w:rsid w:val="008E4E13"/>
    <w:rsid w:val="008E5DDC"/>
    <w:rsid w:val="0090576F"/>
    <w:rsid w:val="0090744F"/>
    <w:rsid w:val="00914DCD"/>
    <w:rsid w:val="00921CE8"/>
    <w:rsid w:val="00926808"/>
    <w:rsid w:val="00932726"/>
    <w:rsid w:val="009328C0"/>
    <w:rsid w:val="00935008"/>
    <w:rsid w:val="00935A39"/>
    <w:rsid w:val="00940B57"/>
    <w:rsid w:val="00941209"/>
    <w:rsid w:val="00941839"/>
    <w:rsid w:val="00950DE6"/>
    <w:rsid w:val="00951887"/>
    <w:rsid w:val="009544E2"/>
    <w:rsid w:val="00957F07"/>
    <w:rsid w:val="009629F9"/>
    <w:rsid w:val="00981077"/>
    <w:rsid w:val="00995B79"/>
    <w:rsid w:val="009970BA"/>
    <w:rsid w:val="009A6A52"/>
    <w:rsid w:val="009B042D"/>
    <w:rsid w:val="009B1A82"/>
    <w:rsid w:val="009B22F1"/>
    <w:rsid w:val="009B538B"/>
    <w:rsid w:val="009C5F91"/>
    <w:rsid w:val="009D71B9"/>
    <w:rsid w:val="009E0942"/>
    <w:rsid w:val="009E1E60"/>
    <w:rsid w:val="009E629E"/>
    <w:rsid w:val="009F2A72"/>
    <w:rsid w:val="00A0793F"/>
    <w:rsid w:val="00A218FB"/>
    <w:rsid w:val="00A310A6"/>
    <w:rsid w:val="00A32BA3"/>
    <w:rsid w:val="00A32C81"/>
    <w:rsid w:val="00A43A6D"/>
    <w:rsid w:val="00A456BA"/>
    <w:rsid w:val="00A529F4"/>
    <w:rsid w:val="00A63C65"/>
    <w:rsid w:val="00A66E55"/>
    <w:rsid w:val="00A6717B"/>
    <w:rsid w:val="00A714CD"/>
    <w:rsid w:val="00A72BEC"/>
    <w:rsid w:val="00A73A15"/>
    <w:rsid w:val="00A759C6"/>
    <w:rsid w:val="00A76F8A"/>
    <w:rsid w:val="00A8023A"/>
    <w:rsid w:val="00A82310"/>
    <w:rsid w:val="00A828EB"/>
    <w:rsid w:val="00A9250F"/>
    <w:rsid w:val="00A96503"/>
    <w:rsid w:val="00AA5C68"/>
    <w:rsid w:val="00AC0923"/>
    <w:rsid w:val="00AC2EEF"/>
    <w:rsid w:val="00AC3193"/>
    <w:rsid w:val="00AC61FE"/>
    <w:rsid w:val="00AD4C76"/>
    <w:rsid w:val="00AD750C"/>
    <w:rsid w:val="00AE0A27"/>
    <w:rsid w:val="00AE171B"/>
    <w:rsid w:val="00AE43DD"/>
    <w:rsid w:val="00AE4E68"/>
    <w:rsid w:val="00AE6DA2"/>
    <w:rsid w:val="00AF4F91"/>
    <w:rsid w:val="00B00B97"/>
    <w:rsid w:val="00B02298"/>
    <w:rsid w:val="00B051C3"/>
    <w:rsid w:val="00B1031C"/>
    <w:rsid w:val="00B112C1"/>
    <w:rsid w:val="00B23D80"/>
    <w:rsid w:val="00B26CE5"/>
    <w:rsid w:val="00B3269C"/>
    <w:rsid w:val="00B35A1D"/>
    <w:rsid w:val="00B40A68"/>
    <w:rsid w:val="00B44E16"/>
    <w:rsid w:val="00B5145C"/>
    <w:rsid w:val="00B520D0"/>
    <w:rsid w:val="00B53C6E"/>
    <w:rsid w:val="00B5747D"/>
    <w:rsid w:val="00B625E0"/>
    <w:rsid w:val="00B64192"/>
    <w:rsid w:val="00B656EA"/>
    <w:rsid w:val="00B71FDC"/>
    <w:rsid w:val="00B74B65"/>
    <w:rsid w:val="00B763D4"/>
    <w:rsid w:val="00B777FA"/>
    <w:rsid w:val="00B93DAE"/>
    <w:rsid w:val="00B957DB"/>
    <w:rsid w:val="00BB424A"/>
    <w:rsid w:val="00BB7575"/>
    <w:rsid w:val="00BC426B"/>
    <w:rsid w:val="00BC52E9"/>
    <w:rsid w:val="00BD0E76"/>
    <w:rsid w:val="00BD19F8"/>
    <w:rsid w:val="00BE3802"/>
    <w:rsid w:val="00BE6C3D"/>
    <w:rsid w:val="00C00042"/>
    <w:rsid w:val="00C01624"/>
    <w:rsid w:val="00C01D74"/>
    <w:rsid w:val="00C02FFB"/>
    <w:rsid w:val="00C0624D"/>
    <w:rsid w:val="00C06A38"/>
    <w:rsid w:val="00C20388"/>
    <w:rsid w:val="00C25FC8"/>
    <w:rsid w:val="00C301CB"/>
    <w:rsid w:val="00C310AE"/>
    <w:rsid w:val="00C3136E"/>
    <w:rsid w:val="00C31D96"/>
    <w:rsid w:val="00C3294D"/>
    <w:rsid w:val="00C36699"/>
    <w:rsid w:val="00C42F30"/>
    <w:rsid w:val="00C449F1"/>
    <w:rsid w:val="00C451D0"/>
    <w:rsid w:val="00C47052"/>
    <w:rsid w:val="00C47626"/>
    <w:rsid w:val="00C51190"/>
    <w:rsid w:val="00C51460"/>
    <w:rsid w:val="00C51BF3"/>
    <w:rsid w:val="00C5576E"/>
    <w:rsid w:val="00C649B4"/>
    <w:rsid w:val="00C656AE"/>
    <w:rsid w:val="00C65E2A"/>
    <w:rsid w:val="00C75DEF"/>
    <w:rsid w:val="00C821D5"/>
    <w:rsid w:val="00C83AD6"/>
    <w:rsid w:val="00C8461C"/>
    <w:rsid w:val="00C92848"/>
    <w:rsid w:val="00C95A99"/>
    <w:rsid w:val="00C964FD"/>
    <w:rsid w:val="00CA11FB"/>
    <w:rsid w:val="00CA3D80"/>
    <w:rsid w:val="00CA694F"/>
    <w:rsid w:val="00CB133F"/>
    <w:rsid w:val="00CB17B8"/>
    <w:rsid w:val="00CB63E9"/>
    <w:rsid w:val="00CC4C38"/>
    <w:rsid w:val="00CD1F6F"/>
    <w:rsid w:val="00CD58ED"/>
    <w:rsid w:val="00CD6401"/>
    <w:rsid w:val="00CD777B"/>
    <w:rsid w:val="00CE61F8"/>
    <w:rsid w:val="00CF32C9"/>
    <w:rsid w:val="00CF3C6C"/>
    <w:rsid w:val="00D14733"/>
    <w:rsid w:val="00D1639F"/>
    <w:rsid w:val="00D377C2"/>
    <w:rsid w:val="00D420A0"/>
    <w:rsid w:val="00D5085A"/>
    <w:rsid w:val="00D51792"/>
    <w:rsid w:val="00D52002"/>
    <w:rsid w:val="00D56003"/>
    <w:rsid w:val="00D56620"/>
    <w:rsid w:val="00D6046B"/>
    <w:rsid w:val="00D60585"/>
    <w:rsid w:val="00D61A29"/>
    <w:rsid w:val="00D61B1F"/>
    <w:rsid w:val="00D65137"/>
    <w:rsid w:val="00D65B72"/>
    <w:rsid w:val="00D732FA"/>
    <w:rsid w:val="00D74F1D"/>
    <w:rsid w:val="00D767CC"/>
    <w:rsid w:val="00D83B17"/>
    <w:rsid w:val="00D83FEE"/>
    <w:rsid w:val="00D85B64"/>
    <w:rsid w:val="00D864A1"/>
    <w:rsid w:val="00D87219"/>
    <w:rsid w:val="00D875CF"/>
    <w:rsid w:val="00D91085"/>
    <w:rsid w:val="00D92632"/>
    <w:rsid w:val="00D9389D"/>
    <w:rsid w:val="00D9729C"/>
    <w:rsid w:val="00DA3D72"/>
    <w:rsid w:val="00DA650D"/>
    <w:rsid w:val="00DA6681"/>
    <w:rsid w:val="00DA7BC7"/>
    <w:rsid w:val="00DB05E7"/>
    <w:rsid w:val="00DB44BF"/>
    <w:rsid w:val="00DB722C"/>
    <w:rsid w:val="00DC1EB1"/>
    <w:rsid w:val="00DC4BFD"/>
    <w:rsid w:val="00DD04A5"/>
    <w:rsid w:val="00DD51F8"/>
    <w:rsid w:val="00DE06EE"/>
    <w:rsid w:val="00DE40FD"/>
    <w:rsid w:val="00DE4DD9"/>
    <w:rsid w:val="00DF303A"/>
    <w:rsid w:val="00E008EA"/>
    <w:rsid w:val="00E031CD"/>
    <w:rsid w:val="00E069AD"/>
    <w:rsid w:val="00E12A18"/>
    <w:rsid w:val="00E15248"/>
    <w:rsid w:val="00E1588B"/>
    <w:rsid w:val="00E20687"/>
    <w:rsid w:val="00E20C3D"/>
    <w:rsid w:val="00E22920"/>
    <w:rsid w:val="00E22928"/>
    <w:rsid w:val="00E248BE"/>
    <w:rsid w:val="00E259CC"/>
    <w:rsid w:val="00E31355"/>
    <w:rsid w:val="00E37E5C"/>
    <w:rsid w:val="00E4640E"/>
    <w:rsid w:val="00E47F50"/>
    <w:rsid w:val="00E508F7"/>
    <w:rsid w:val="00E63EBB"/>
    <w:rsid w:val="00E66832"/>
    <w:rsid w:val="00E673DB"/>
    <w:rsid w:val="00E67636"/>
    <w:rsid w:val="00E72AFF"/>
    <w:rsid w:val="00E73CDA"/>
    <w:rsid w:val="00E74240"/>
    <w:rsid w:val="00E80D81"/>
    <w:rsid w:val="00E858CE"/>
    <w:rsid w:val="00E86AB3"/>
    <w:rsid w:val="00E90C7B"/>
    <w:rsid w:val="00E93453"/>
    <w:rsid w:val="00E93FB1"/>
    <w:rsid w:val="00E9568D"/>
    <w:rsid w:val="00E96C6B"/>
    <w:rsid w:val="00EA00D9"/>
    <w:rsid w:val="00EA06F1"/>
    <w:rsid w:val="00EA2D58"/>
    <w:rsid w:val="00EA4A06"/>
    <w:rsid w:val="00EA62D2"/>
    <w:rsid w:val="00EB0E83"/>
    <w:rsid w:val="00EB44B4"/>
    <w:rsid w:val="00EB6A98"/>
    <w:rsid w:val="00EB6F10"/>
    <w:rsid w:val="00EC078D"/>
    <w:rsid w:val="00EC662B"/>
    <w:rsid w:val="00EC7CF6"/>
    <w:rsid w:val="00ED18BA"/>
    <w:rsid w:val="00ED3C5C"/>
    <w:rsid w:val="00ED7D65"/>
    <w:rsid w:val="00EE1E9F"/>
    <w:rsid w:val="00EE292F"/>
    <w:rsid w:val="00EE7B21"/>
    <w:rsid w:val="00EE7DA9"/>
    <w:rsid w:val="00EE7E2A"/>
    <w:rsid w:val="00EF3377"/>
    <w:rsid w:val="00EF49DD"/>
    <w:rsid w:val="00EF7FCF"/>
    <w:rsid w:val="00F02E76"/>
    <w:rsid w:val="00F0354C"/>
    <w:rsid w:val="00F064C8"/>
    <w:rsid w:val="00F152F2"/>
    <w:rsid w:val="00F25E36"/>
    <w:rsid w:val="00F306DB"/>
    <w:rsid w:val="00F31F47"/>
    <w:rsid w:val="00F372ED"/>
    <w:rsid w:val="00F376E1"/>
    <w:rsid w:val="00F4413E"/>
    <w:rsid w:val="00F4710A"/>
    <w:rsid w:val="00F506D2"/>
    <w:rsid w:val="00F51C91"/>
    <w:rsid w:val="00F536B2"/>
    <w:rsid w:val="00F568F7"/>
    <w:rsid w:val="00F60A78"/>
    <w:rsid w:val="00F614A3"/>
    <w:rsid w:val="00F713A7"/>
    <w:rsid w:val="00F7224C"/>
    <w:rsid w:val="00F73B81"/>
    <w:rsid w:val="00F73E19"/>
    <w:rsid w:val="00F74A6D"/>
    <w:rsid w:val="00F74FA0"/>
    <w:rsid w:val="00F76685"/>
    <w:rsid w:val="00F7678F"/>
    <w:rsid w:val="00F832FD"/>
    <w:rsid w:val="00F83755"/>
    <w:rsid w:val="00F84EA5"/>
    <w:rsid w:val="00F9514A"/>
    <w:rsid w:val="00F96F21"/>
    <w:rsid w:val="00FA08D4"/>
    <w:rsid w:val="00FA09CD"/>
    <w:rsid w:val="00FA407B"/>
    <w:rsid w:val="00FA548E"/>
    <w:rsid w:val="00FB12AE"/>
    <w:rsid w:val="00FB14A9"/>
    <w:rsid w:val="00FB67D0"/>
    <w:rsid w:val="00FB6815"/>
    <w:rsid w:val="00FC5BE5"/>
    <w:rsid w:val="00FC6368"/>
    <w:rsid w:val="00FD1386"/>
    <w:rsid w:val="00FD237E"/>
    <w:rsid w:val="00FE1387"/>
    <w:rsid w:val="00FF3A04"/>
    <w:rsid w:val="00FF67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1097EC"/>
  <w15:docId w15:val="{C0421515-34C7-4F15-9F8F-691F4B0A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en-US" w:bidi="en-US"/>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B64"/>
    <w:rPr>
      <w:lang w:val="da-DK"/>
    </w:rPr>
  </w:style>
  <w:style w:type="paragraph" w:styleId="Overskrift1">
    <w:name w:val="heading 1"/>
    <w:basedOn w:val="Normal"/>
    <w:next w:val="Normal"/>
    <w:link w:val="Overskrift1Tegn"/>
    <w:uiPriority w:val="9"/>
    <w:qFormat/>
    <w:rsid w:val="00D85B64"/>
    <w:pPr>
      <w:keepNext/>
      <w:keepLines/>
      <w:spacing w:before="360" w:after="120"/>
      <w:contextualSpacing/>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F506D2"/>
    <w:pPr>
      <w:keepNext/>
      <w:keepLines/>
      <w:spacing w:before="200" w:after="0"/>
      <w:outlineLvl w:val="1"/>
    </w:pPr>
    <w:rPr>
      <w:rFonts w:asciiTheme="majorHAnsi" w:eastAsiaTheme="majorEastAsia" w:hAnsiTheme="majorHAnsi" w:cstheme="majorBidi"/>
      <w:b/>
      <w:bCs/>
      <w:color w:val="4F81BD" w:themeColor="accent1"/>
      <w:sz w:val="20"/>
      <w:szCs w:val="26"/>
    </w:rPr>
  </w:style>
  <w:style w:type="paragraph" w:styleId="Overskrift3">
    <w:name w:val="heading 3"/>
    <w:basedOn w:val="Normal"/>
    <w:next w:val="Normal"/>
    <w:link w:val="Overskrift3Tegn"/>
    <w:uiPriority w:val="9"/>
    <w:semiHidden/>
    <w:unhideWhenUsed/>
    <w:qFormat/>
    <w:rsid w:val="00D85B64"/>
    <w:pPr>
      <w:keepNext/>
      <w:keepLines/>
      <w:spacing w:before="200" w:after="0" w:line="271" w:lineRule="auto"/>
      <w:outlineLvl w:val="2"/>
    </w:pPr>
    <w:rPr>
      <w:rFonts w:eastAsiaTheme="majorEastAsia" w:cstheme="majorBidi"/>
      <w:b/>
      <w:bCs/>
    </w:rPr>
  </w:style>
  <w:style w:type="paragraph" w:styleId="Overskrift4">
    <w:name w:val="heading 4"/>
    <w:basedOn w:val="Normal"/>
    <w:next w:val="Normal"/>
    <w:link w:val="Overskrift4Tegn"/>
    <w:uiPriority w:val="9"/>
    <w:semiHidden/>
    <w:unhideWhenUsed/>
    <w:qFormat/>
    <w:rsid w:val="00D85B64"/>
    <w:pPr>
      <w:keepNext/>
      <w:keepLines/>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D85B64"/>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D85B64"/>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D85B64"/>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D85B64"/>
    <w:pPr>
      <w:spacing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qFormat/>
    <w:rsid w:val="00D85B64"/>
    <w:pPr>
      <w:spacing w:after="0"/>
      <w:outlineLvl w:val="8"/>
    </w:pPr>
    <w:rPr>
      <w:rFonts w:asciiTheme="majorHAnsi" w:eastAsiaTheme="majorEastAsia" w:hAnsiTheme="majorHAnsi" w:cstheme="majorBidi"/>
      <w:i/>
      <w:iCs/>
      <w:spacing w:val="5"/>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B6F10"/>
    <w:pPr>
      <w:tabs>
        <w:tab w:val="center" w:pos="4819"/>
        <w:tab w:val="right" w:pos="9638"/>
      </w:tabs>
      <w:spacing w:after="0"/>
    </w:pPr>
  </w:style>
  <w:style w:type="character" w:customStyle="1" w:styleId="SidehovedTegn">
    <w:name w:val="Sidehoved Tegn"/>
    <w:basedOn w:val="Standardskrifttypeiafsnit"/>
    <w:link w:val="Sidehoved"/>
    <w:uiPriority w:val="99"/>
    <w:rsid w:val="00EB6F10"/>
  </w:style>
  <w:style w:type="paragraph" w:styleId="Sidefod">
    <w:name w:val="footer"/>
    <w:basedOn w:val="Normal"/>
    <w:link w:val="SidefodTegn"/>
    <w:uiPriority w:val="99"/>
    <w:unhideWhenUsed/>
    <w:rsid w:val="00EB6F10"/>
    <w:pPr>
      <w:tabs>
        <w:tab w:val="center" w:pos="4819"/>
        <w:tab w:val="right" w:pos="9638"/>
      </w:tabs>
      <w:spacing w:after="0"/>
    </w:pPr>
  </w:style>
  <w:style w:type="character" w:customStyle="1" w:styleId="SidefodTegn">
    <w:name w:val="Sidefod Tegn"/>
    <w:basedOn w:val="Standardskrifttypeiafsnit"/>
    <w:link w:val="Sidefod"/>
    <w:uiPriority w:val="99"/>
    <w:rsid w:val="00EB6F10"/>
  </w:style>
  <w:style w:type="paragraph" w:styleId="Markeringsbobletekst">
    <w:name w:val="Balloon Text"/>
    <w:basedOn w:val="Normal"/>
    <w:link w:val="MarkeringsbobletekstTegn"/>
    <w:uiPriority w:val="99"/>
    <w:semiHidden/>
    <w:unhideWhenUsed/>
    <w:rsid w:val="00EB6F10"/>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6F10"/>
    <w:rPr>
      <w:rFonts w:ascii="Tahoma" w:hAnsi="Tahoma" w:cs="Tahoma"/>
      <w:sz w:val="16"/>
      <w:szCs w:val="16"/>
    </w:rPr>
  </w:style>
  <w:style w:type="table" w:styleId="Tabel-Gitter">
    <w:name w:val="Table Grid"/>
    <w:basedOn w:val="Tabel-Normal"/>
    <w:rsid w:val="00FF3A0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dsholdertekst">
    <w:name w:val="Placeholder Text"/>
    <w:basedOn w:val="Standardskrifttypeiafsnit"/>
    <w:uiPriority w:val="99"/>
    <w:semiHidden/>
    <w:rsid w:val="00FF3A04"/>
    <w:rPr>
      <w:color w:val="808080"/>
    </w:rPr>
  </w:style>
  <w:style w:type="character" w:customStyle="1" w:styleId="Overskrift1Tegn">
    <w:name w:val="Overskrift 1 Tegn"/>
    <w:basedOn w:val="Standardskrifttypeiafsnit"/>
    <w:link w:val="Overskrift1"/>
    <w:uiPriority w:val="9"/>
    <w:rsid w:val="00D85B64"/>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9"/>
    <w:rsid w:val="00F506D2"/>
    <w:rPr>
      <w:rFonts w:asciiTheme="majorHAnsi" w:eastAsiaTheme="majorEastAsia" w:hAnsiTheme="majorHAnsi" w:cstheme="majorBidi"/>
      <w:b/>
      <w:bCs/>
      <w:color w:val="4F81BD" w:themeColor="accent1"/>
      <w:sz w:val="20"/>
      <w:szCs w:val="26"/>
      <w:lang w:val="da-DK"/>
    </w:rPr>
  </w:style>
  <w:style w:type="character" w:customStyle="1" w:styleId="Overskrift3Tegn">
    <w:name w:val="Overskrift 3 Tegn"/>
    <w:basedOn w:val="Standardskrifttypeiafsnit"/>
    <w:link w:val="Overskrift3"/>
    <w:uiPriority w:val="9"/>
    <w:semiHidden/>
    <w:rsid w:val="00D85B64"/>
    <w:rPr>
      <w:rFonts w:eastAsiaTheme="majorEastAsia" w:cstheme="majorBidi"/>
      <w:b/>
      <w:bCs/>
      <w:lang w:val="da-DK"/>
    </w:rPr>
  </w:style>
  <w:style w:type="character" w:customStyle="1" w:styleId="Overskrift4Tegn">
    <w:name w:val="Overskrift 4 Tegn"/>
    <w:basedOn w:val="Standardskrifttypeiafsnit"/>
    <w:link w:val="Overskrift4"/>
    <w:uiPriority w:val="9"/>
    <w:semiHidden/>
    <w:rsid w:val="00D85B64"/>
    <w:rPr>
      <w:rFonts w:asciiTheme="majorHAnsi" w:eastAsiaTheme="majorEastAsia" w:hAnsiTheme="majorHAnsi" w:cstheme="majorBidi"/>
      <w:b/>
      <w:bCs/>
      <w:i/>
      <w:iCs/>
      <w:lang w:val="da-DK"/>
    </w:rPr>
  </w:style>
  <w:style w:type="character" w:customStyle="1" w:styleId="Overskrift5Tegn">
    <w:name w:val="Overskrift 5 Tegn"/>
    <w:basedOn w:val="Standardskrifttypeiafsnit"/>
    <w:link w:val="Overskrift5"/>
    <w:uiPriority w:val="9"/>
    <w:semiHidden/>
    <w:rsid w:val="00D85B64"/>
    <w:rPr>
      <w:rFonts w:asciiTheme="majorHAnsi" w:eastAsiaTheme="majorEastAsia" w:hAnsiTheme="majorHAnsi" w:cstheme="majorBidi"/>
      <w:b/>
      <w:bCs/>
      <w:color w:val="7F7F7F" w:themeColor="text1" w:themeTint="80"/>
      <w:lang w:val="da-DK"/>
    </w:rPr>
  </w:style>
  <w:style w:type="character" w:customStyle="1" w:styleId="Overskrift6Tegn">
    <w:name w:val="Overskrift 6 Tegn"/>
    <w:basedOn w:val="Standardskrifttypeiafsnit"/>
    <w:link w:val="Overskrift6"/>
    <w:uiPriority w:val="9"/>
    <w:semiHidden/>
    <w:rsid w:val="00D85B64"/>
    <w:rPr>
      <w:rFonts w:asciiTheme="majorHAnsi" w:eastAsiaTheme="majorEastAsia" w:hAnsiTheme="majorHAnsi" w:cstheme="majorBidi"/>
      <w:b/>
      <w:bCs/>
      <w:i/>
      <w:iCs/>
      <w:color w:val="7F7F7F" w:themeColor="text1" w:themeTint="80"/>
      <w:lang w:val="da-DK"/>
    </w:rPr>
  </w:style>
  <w:style w:type="character" w:customStyle="1" w:styleId="Overskrift7Tegn">
    <w:name w:val="Overskrift 7 Tegn"/>
    <w:basedOn w:val="Standardskrifttypeiafsnit"/>
    <w:link w:val="Overskrift7"/>
    <w:uiPriority w:val="9"/>
    <w:semiHidden/>
    <w:rsid w:val="00D85B64"/>
    <w:rPr>
      <w:rFonts w:asciiTheme="majorHAnsi" w:eastAsiaTheme="majorEastAsia" w:hAnsiTheme="majorHAnsi" w:cstheme="majorBidi"/>
      <w:i/>
      <w:iCs/>
      <w:lang w:val="da-DK"/>
    </w:rPr>
  </w:style>
  <w:style w:type="character" w:customStyle="1" w:styleId="Overskrift8Tegn">
    <w:name w:val="Overskrift 8 Tegn"/>
    <w:basedOn w:val="Standardskrifttypeiafsnit"/>
    <w:link w:val="Overskrift8"/>
    <w:uiPriority w:val="9"/>
    <w:semiHidden/>
    <w:rsid w:val="00D85B64"/>
    <w:rPr>
      <w:rFonts w:asciiTheme="majorHAnsi" w:eastAsiaTheme="majorEastAsia" w:hAnsiTheme="majorHAnsi" w:cstheme="majorBidi"/>
      <w:sz w:val="20"/>
      <w:szCs w:val="20"/>
      <w:lang w:val="da-DK"/>
    </w:rPr>
  </w:style>
  <w:style w:type="character" w:customStyle="1" w:styleId="Overskrift9Tegn">
    <w:name w:val="Overskrift 9 Tegn"/>
    <w:basedOn w:val="Standardskrifttypeiafsnit"/>
    <w:link w:val="Overskrift9"/>
    <w:uiPriority w:val="9"/>
    <w:semiHidden/>
    <w:rsid w:val="00D85B64"/>
    <w:rPr>
      <w:rFonts w:asciiTheme="majorHAnsi" w:eastAsiaTheme="majorEastAsia" w:hAnsiTheme="majorHAnsi" w:cstheme="majorBidi"/>
      <w:i/>
      <w:iCs/>
      <w:spacing w:val="5"/>
      <w:sz w:val="20"/>
      <w:szCs w:val="20"/>
      <w:lang w:val="da-DK"/>
    </w:rPr>
  </w:style>
  <w:style w:type="paragraph" w:styleId="Titel">
    <w:name w:val="Title"/>
    <w:basedOn w:val="Normal"/>
    <w:next w:val="Normal"/>
    <w:link w:val="TitelTegn"/>
    <w:uiPriority w:val="29"/>
    <w:qFormat/>
    <w:rsid w:val="00D85B64"/>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D85B64"/>
    <w:rPr>
      <w:rFonts w:asciiTheme="majorHAnsi" w:eastAsiaTheme="majorEastAsia" w:hAnsiTheme="majorHAnsi" w:cstheme="majorBidi"/>
      <w:b/>
      <w:spacing w:val="5"/>
      <w:sz w:val="52"/>
      <w:szCs w:val="52"/>
      <w:lang w:val="da-DK"/>
    </w:rPr>
  </w:style>
  <w:style w:type="paragraph" w:styleId="Undertitel">
    <w:name w:val="Subtitle"/>
    <w:basedOn w:val="Normal"/>
    <w:next w:val="Normal"/>
    <w:link w:val="UndertitelTegn"/>
    <w:uiPriority w:val="30"/>
    <w:qFormat/>
    <w:rsid w:val="00D85B64"/>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D85B64"/>
    <w:rPr>
      <w:rFonts w:asciiTheme="majorHAnsi" w:eastAsiaTheme="majorEastAsia" w:hAnsiTheme="majorHAnsi" w:cstheme="majorBidi"/>
      <w:iCs/>
      <w:spacing w:val="13"/>
      <w:lang w:val="da-DK"/>
    </w:rPr>
  </w:style>
  <w:style w:type="character" w:styleId="Strk">
    <w:name w:val="Strong"/>
    <w:uiPriority w:val="22"/>
    <w:qFormat/>
    <w:rsid w:val="00D85B64"/>
    <w:rPr>
      <w:b/>
      <w:bCs/>
    </w:rPr>
  </w:style>
  <w:style w:type="character" w:styleId="Fremhv">
    <w:name w:val="Emphasis"/>
    <w:uiPriority w:val="20"/>
    <w:qFormat/>
    <w:rsid w:val="00D85B64"/>
    <w:rPr>
      <w:b/>
      <w:bCs/>
      <w:i/>
      <w:iCs/>
      <w:spacing w:val="10"/>
      <w:bdr w:val="none" w:sz="0" w:space="0" w:color="auto"/>
      <w:shd w:val="clear" w:color="auto" w:fill="auto"/>
    </w:rPr>
  </w:style>
  <w:style w:type="paragraph" w:styleId="Ingenafstand">
    <w:name w:val="No Spacing"/>
    <w:basedOn w:val="Normal"/>
    <w:link w:val="IngenafstandTegn"/>
    <w:uiPriority w:val="1"/>
    <w:qFormat/>
    <w:rsid w:val="00D85B64"/>
    <w:pPr>
      <w:spacing w:after="0"/>
    </w:pPr>
  </w:style>
  <w:style w:type="paragraph" w:styleId="Listeafsnit">
    <w:name w:val="List Paragraph"/>
    <w:basedOn w:val="Normal"/>
    <w:link w:val="ListeafsnitTegn"/>
    <w:uiPriority w:val="34"/>
    <w:qFormat/>
    <w:rsid w:val="00D85B64"/>
    <w:pPr>
      <w:ind w:left="720"/>
      <w:contextualSpacing/>
    </w:pPr>
  </w:style>
  <w:style w:type="paragraph" w:styleId="Citat">
    <w:name w:val="Quote"/>
    <w:basedOn w:val="Normal"/>
    <w:next w:val="Normal"/>
    <w:link w:val="CitatTegn"/>
    <w:uiPriority w:val="29"/>
    <w:qFormat/>
    <w:rsid w:val="00D85B64"/>
    <w:pPr>
      <w:spacing w:before="200" w:after="0"/>
      <w:ind w:left="360" w:right="360"/>
    </w:pPr>
    <w:rPr>
      <w:i/>
      <w:iCs/>
      <w:lang w:val="en-US"/>
    </w:rPr>
  </w:style>
  <w:style w:type="character" w:customStyle="1" w:styleId="CitatTegn">
    <w:name w:val="Citat Tegn"/>
    <w:basedOn w:val="Standardskrifttypeiafsnit"/>
    <w:link w:val="Citat"/>
    <w:uiPriority w:val="29"/>
    <w:rsid w:val="00D85B64"/>
    <w:rPr>
      <w:i/>
      <w:iCs/>
    </w:rPr>
  </w:style>
  <w:style w:type="paragraph" w:styleId="Strktcitat">
    <w:name w:val="Intense Quote"/>
    <w:basedOn w:val="Normal"/>
    <w:next w:val="Normal"/>
    <w:link w:val="StrktcitatTegn"/>
    <w:uiPriority w:val="30"/>
    <w:qFormat/>
    <w:rsid w:val="00D85B64"/>
    <w:pPr>
      <w:pBdr>
        <w:bottom w:val="single" w:sz="4" w:space="1" w:color="auto"/>
      </w:pBdr>
      <w:spacing w:before="200" w:after="280"/>
      <w:ind w:left="1008" w:right="1152"/>
      <w:jc w:val="both"/>
    </w:pPr>
    <w:rPr>
      <w:b/>
      <w:bCs/>
      <w:i/>
      <w:iCs/>
      <w:lang w:val="en-US"/>
    </w:rPr>
  </w:style>
  <w:style w:type="character" w:customStyle="1" w:styleId="StrktcitatTegn">
    <w:name w:val="Stærkt citat Tegn"/>
    <w:basedOn w:val="Standardskrifttypeiafsnit"/>
    <w:link w:val="Strktcitat"/>
    <w:uiPriority w:val="30"/>
    <w:rsid w:val="00D85B64"/>
    <w:rPr>
      <w:b/>
      <w:bCs/>
      <w:i/>
      <w:iCs/>
    </w:rPr>
  </w:style>
  <w:style w:type="character" w:styleId="Svagfremhvning">
    <w:name w:val="Subtle Emphasis"/>
    <w:uiPriority w:val="19"/>
    <w:qFormat/>
    <w:rsid w:val="00D85B64"/>
    <w:rPr>
      <w:i/>
      <w:iCs/>
    </w:rPr>
  </w:style>
  <w:style w:type="character" w:styleId="Kraftigfremhvning">
    <w:name w:val="Intense Emphasis"/>
    <w:uiPriority w:val="21"/>
    <w:qFormat/>
    <w:rsid w:val="00D85B64"/>
    <w:rPr>
      <w:b/>
      <w:bCs/>
    </w:rPr>
  </w:style>
  <w:style w:type="character" w:styleId="Svaghenvisning">
    <w:name w:val="Subtle Reference"/>
    <w:uiPriority w:val="31"/>
    <w:qFormat/>
    <w:rsid w:val="00D85B64"/>
    <w:rPr>
      <w:smallCaps/>
    </w:rPr>
  </w:style>
  <w:style w:type="character" w:styleId="Kraftighenvisning">
    <w:name w:val="Intense Reference"/>
    <w:uiPriority w:val="32"/>
    <w:qFormat/>
    <w:rsid w:val="00D85B64"/>
    <w:rPr>
      <w:smallCaps/>
      <w:spacing w:val="5"/>
      <w:u w:val="single"/>
    </w:rPr>
  </w:style>
  <w:style w:type="character" w:styleId="Bogenstitel">
    <w:name w:val="Book Title"/>
    <w:uiPriority w:val="33"/>
    <w:qFormat/>
    <w:rsid w:val="00D85B64"/>
    <w:rPr>
      <w:b/>
      <w:iCs/>
      <w:spacing w:val="5"/>
      <w:bdr w:val="none" w:sz="0" w:space="0" w:color="auto"/>
    </w:rPr>
  </w:style>
  <w:style w:type="paragraph" w:styleId="Overskrift">
    <w:name w:val="TOC Heading"/>
    <w:basedOn w:val="Overskrift1"/>
    <w:next w:val="Normal"/>
    <w:uiPriority w:val="39"/>
    <w:semiHidden/>
    <w:unhideWhenUsed/>
    <w:qFormat/>
    <w:rsid w:val="00D85B64"/>
    <w:pPr>
      <w:outlineLvl w:val="9"/>
    </w:pPr>
  </w:style>
  <w:style w:type="paragraph" w:customStyle="1" w:styleId="Skabelonoverskrift">
    <w:name w:val="Skabelonoverskrift"/>
    <w:basedOn w:val="Normal"/>
    <w:next w:val="Normal"/>
    <w:link w:val="SkabelonoverskriftTegn"/>
    <w:uiPriority w:val="49"/>
    <w:semiHidden/>
    <w:qFormat/>
    <w:rsid w:val="00D85B64"/>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D85B64"/>
    <w:rPr>
      <w:b/>
      <w:sz w:val="28"/>
      <w:lang w:val="da-DK"/>
    </w:rPr>
  </w:style>
  <w:style w:type="paragraph" w:customStyle="1" w:styleId="DagsordenReferat-Tekst">
    <w:name w:val="DagsordenReferat - Tekst"/>
    <w:basedOn w:val="Normal"/>
    <w:link w:val="DagsordenReferat-TekstTegn"/>
    <w:uiPriority w:val="8"/>
    <w:qFormat/>
    <w:rsid w:val="00D85B64"/>
    <w:pPr>
      <w:spacing w:after="120"/>
      <w:ind w:left="378"/>
    </w:pPr>
  </w:style>
  <w:style w:type="character" w:customStyle="1" w:styleId="DagsordenReferat-TekstTegn">
    <w:name w:val="DagsordenReferat - Tekst Tegn"/>
    <w:basedOn w:val="Standardskrifttypeiafsnit"/>
    <w:link w:val="DagsordenReferat-Tekst"/>
    <w:uiPriority w:val="8"/>
    <w:rsid w:val="00D85B64"/>
    <w:rPr>
      <w:lang w:val="da-DK"/>
    </w:rPr>
  </w:style>
  <w:style w:type="paragraph" w:customStyle="1" w:styleId="DagsordenReferat-Opstilling">
    <w:name w:val="DagsordenReferat - Opstilling"/>
    <w:basedOn w:val="Normal"/>
    <w:uiPriority w:val="8"/>
    <w:qFormat/>
    <w:rsid w:val="00F506D2"/>
    <w:pPr>
      <w:numPr>
        <w:numId w:val="3"/>
      </w:numPr>
      <w:spacing w:after="120"/>
    </w:pPr>
    <w:rPr>
      <w:b/>
      <w:color w:val="4F81BD" w:themeColor="accent1"/>
      <w:sz w:val="22"/>
    </w:rPr>
  </w:style>
  <w:style w:type="paragraph" w:styleId="Opstilling-talellerbogst">
    <w:name w:val="List Number"/>
    <w:basedOn w:val="Normal"/>
    <w:uiPriority w:val="99"/>
    <w:semiHidden/>
    <w:unhideWhenUsed/>
    <w:rsid w:val="003578D6"/>
    <w:pPr>
      <w:numPr>
        <w:numId w:val="1"/>
      </w:numPr>
      <w:contextualSpacing/>
    </w:pPr>
  </w:style>
  <w:style w:type="paragraph" w:customStyle="1" w:styleId="Modtagere">
    <w:name w:val="Modtagere"/>
    <w:basedOn w:val="Normal"/>
    <w:uiPriority w:val="39"/>
    <w:qFormat/>
    <w:rsid w:val="00D85B64"/>
    <w:pPr>
      <w:spacing w:after="0"/>
      <w:contextualSpacing/>
    </w:pPr>
  </w:style>
  <w:style w:type="table" w:customStyle="1" w:styleId="TableGrid1">
    <w:name w:val="Table Grid1"/>
    <w:basedOn w:val="Tabel-Normal"/>
    <w:next w:val="Tabel-Gitter"/>
    <w:rsid w:val="00D517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rsid w:val="00020EDB"/>
    <w:pPr>
      <w:overflowPunct w:val="0"/>
      <w:autoSpaceDE w:val="0"/>
      <w:autoSpaceDN w:val="0"/>
      <w:adjustRightInd w:val="0"/>
      <w:textAlignment w:val="baseline"/>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20EDB"/>
  </w:style>
  <w:style w:type="paragraph" w:customStyle="1" w:styleId="abcTest">
    <w:name w:val="abcTest"/>
    <w:basedOn w:val="Normal"/>
    <w:qFormat/>
    <w:rsid w:val="00D85B64"/>
  </w:style>
  <w:style w:type="table" w:customStyle="1" w:styleId="TableGrid3">
    <w:name w:val="Table Grid3"/>
    <w:basedOn w:val="Tabel-Normal"/>
    <w:next w:val="Tabel-Gitter"/>
    <w:rsid w:val="00EC662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06DC1"/>
    <w:rPr>
      <w:color w:val="0000FF" w:themeColor="hyperlink"/>
      <w:u w:val="single"/>
    </w:rPr>
  </w:style>
  <w:style w:type="paragraph" w:styleId="Fodnotetekst">
    <w:name w:val="footnote text"/>
    <w:basedOn w:val="Normal"/>
    <w:link w:val="FodnotetekstTegn"/>
    <w:uiPriority w:val="99"/>
    <w:semiHidden/>
    <w:unhideWhenUsed/>
    <w:rsid w:val="00106DC1"/>
    <w:pPr>
      <w:spacing w:after="0"/>
    </w:pPr>
    <w:rPr>
      <w:rFonts w:eastAsiaTheme="minorHAnsi"/>
      <w:sz w:val="20"/>
      <w:szCs w:val="20"/>
      <w:lang w:bidi="ar-SA"/>
    </w:rPr>
  </w:style>
  <w:style w:type="character" w:customStyle="1" w:styleId="FodnotetekstTegn">
    <w:name w:val="Fodnotetekst Tegn"/>
    <w:basedOn w:val="Standardskrifttypeiafsnit"/>
    <w:link w:val="Fodnotetekst"/>
    <w:uiPriority w:val="99"/>
    <w:semiHidden/>
    <w:rsid w:val="00106DC1"/>
    <w:rPr>
      <w:rFonts w:eastAsiaTheme="minorHAnsi"/>
      <w:sz w:val="20"/>
      <w:szCs w:val="20"/>
      <w:lang w:val="da-DK" w:bidi="ar-SA"/>
    </w:rPr>
  </w:style>
  <w:style w:type="character" w:styleId="Fodnotehenvisning">
    <w:name w:val="footnote reference"/>
    <w:basedOn w:val="Standardskrifttypeiafsnit"/>
    <w:uiPriority w:val="99"/>
    <w:semiHidden/>
    <w:unhideWhenUsed/>
    <w:rsid w:val="00106DC1"/>
    <w:rPr>
      <w:vertAlign w:val="superscript"/>
    </w:rPr>
  </w:style>
  <w:style w:type="paragraph" w:styleId="Opstilling-punkttegn">
    <w:name w:val="List Bullet"/>
    <w:basedOn w:val="Normal"/>
    <w:uiPriority w:val="2"/>
    <w:qFormat/>
    <w:rsid w:val="00025B7F"/>
    <w:pPr>
      <w:numPr>
        <w:numId w:val="4"/>
      </w:numPr>
      <w:spacing w:after="0" w:line="280" w:lineRule="atLeast"/>
      <w:contextualSpacing/>
    </w:pPr>
    <w:rPr>
      <w:rFonts w:ascii="Arial" w:eastAsiaTheme="minorHAnsi" w:hAnsi="Arial"/>
      <w:sz w:val="20"/>
      <w:szCs w:val="22"/>
      <w:lang w:bidi="ar-SA"/>
    </w:rPr>
  </w:style>
  <w:style w:type="paragraph" w:styleId="Opstilling-punkttegn2">
    <w:name w:val="List Bullet 2"/>
    <w:basedOn w:val="Normal"/>
    <w:uiPriority w:val="2"/>
    <w:rsid w:val="00025B7F"/>
    <w:pPr>
      <w:numPr>
        <w:ilvl w:val="1"/>
        <w:numId w:val="4"/>
      </w:numPr>
      <w:spacing w:after="0" w:line="280" w:lineRule="atLeast"/>
      <w:contextualSpacing/>
    </w:pPr>
    <w:rPr>
      <w:rFonts w:ascii="Arial" w:eastAsiaTheme="minorHAnsi" w:hAnsi="Arial"/>
      <w:sz w:val="20"/>
      <w:szCs w:val="22"/>
      <w:lang w:bidi="ar-SA"/>
    </w:rPr>
  </w:style>
  <w:style w:type="paragraph" w:styleId="Opstilling-punkttegn3">
    <w:name w:val="List Bullet 3"/>
    <w:basedOn w:val="Normal"/>
    <w:uiPriority w:val="2"/>
    <w:rsid w:val="00025B7F"/>
    <w:pPr>
      <w:numPr>
        <w:ilvl w:val="2"/>
        <w:numId w:val="4"/>
      </w:numPr>
      <w:spacing w:after="0" w:line="280" w:lineRule="atLeast"/>
      <w:contextualSpacing/>
    </w:pPr>
    <w:rPr>
      <w:rFonts w:ascii="Arial" w:eastAsiaTheme="minorHAnsi" w:hAnsi="Arial"/>
      <w:sz w:val="20"/>
      <w:szCs w:val="22"/>
      <w:lang w:bidi="ar-SA"/>
    </w:rPr>
  </w:style>
  <w:style w:type="paragraph" w:styleId="Opstilling-punkttegn4">
    <w:name w:val="List Bullet 4"/>
    <w:basedOn w:val="Normal"/>
    <w:uiPriority w:val="2"/>
    <w:rsid w:val="00025B7F"/>
    <w:pPr>
      <w:numPr>
        <w:ilvl w:val="3"/>
        <w:numId w:val="4"/>
      </w:numPr>
      <w:spacing w:after="0" w:line="280" w:lineRule="atLeast"/>
      <w:contextualSpacing/>
    </w:pPr>
    <w:rPr>
      <w:rFonts w:ascii="Arial" w:eastAsiaTheme="minorHAnsi" w:hAnsi="Arial"/>
      <w:sz w:val="20"/>
      <w:szCs w:val="22"/>
      <w:lang w:bidi="ar-SA"/>
    </w:rPr>
  </w:style>
  <w:style w:type="paragraph" w:customStyle="1" w:styleId="Tekst">
    <w:name w:val="Tekst"/>
    <w:basedOn w:val="Normal"/>
    <w:rsid w:val="00C8461C"/>
    <w:pPr>
      <w:spacing w:after="0" w:line="300" w:lineRule="atLeast"/>
      <w:ind w:left="851"/>
    </w:pPr>
    <w:rPr>
      <w:rFonts w:ascii="Garamond" w:eastAsia="Calibri" w:hAnsi="Garamond" w:cs="Times New Roman"/>
      <w:spacing w:val="4"/>
      <w:sz w:val="24"/>
      <w:szCs w:val="20"/>
      <w:lang w:bidi="ar-SA"/>
    </w:rPr>
  </w:style>
  <w:style w:type="paragraph" w:customStyle="1" w:styleId="P">
    <w:name w:val="P"/>
    <w:basedOn w:val="Normal"/>
    <w:uiPriority w:val="99"/>
    <w:rsid w:val="00C8461C"/>
    <w:pPr>
      <w:widowControl w:val="0"/>
      <w:autoSpaceDE w:val="0"/>
      <w:autoSpaceDN w:val="0"/>
      <w:adjustRightInd w:val="0"/>
      <w:spacing w:after="0"/>
    </w:pPr>
    <w:rPr>
      <w:rFonts w:ascii="Arial" w:eastAsia="Calibri" w:hAnsi="Arial" w:cs="Arial"/>
      <w:sz w:val="22"/>
      <w:szCs w:val="22"/>
      <w:lang w:bidi="ar-SA"/>
    </w:rPr>
  </w:style>
  <w:style w:type="paragraph" w:customStyle="1" w:styleId="Default">
    <w:name w:val="Default"/>
    <w:rsid w:val="00C8461C"/>
    <w:pPr>
      <w:autoSpaceDE w:val="0"/>
      <w:autoSpaceDN w:val="0"/>
      <w:adjustRightInd w:val="0"/>
      <w:spacing w:after="0"/>
    </w:pPr>
    <w:rPr>
      <w:rFonts w:ascii="Arial" w:eastAsia="Times New Roman" w:hAnsi="Arial" w:cs="Arial"/>
      <w:color w:val="000000"/>
      <w:sz w:val="24"/>
      <w:szCs w:val="24"/>
      <w:lang w:val="da-DK" w:eastAsia="da-DK" w:bidi="ar-SA"/>
    </w:rPr>
  </w:style>
  <w:style w:type="paragraph" w:styleId="Almindeligtekst">
    <w:name w:val="Plain Text"/>
    <w:basedOn w:val="Normal"/>
    <w:link w:val="AlmindeligtekstTegn"/>
    <w:uiPriority w:val="99"/>
    <w:semiHidden/>
    <w:unhideWhenUsed/>
    <w:rsid w:val="00503B6A"/>
    <w:pPr>
      <w:spacing w:after="0"/>
    </w:pPr>
    <w:rPr>
      <w:rFonts w:ascii="Consolas" w:eastAsiaTheme="minorHAnsi" w:hAnsi="Consolas" w:cs="Consolas"/>
      <w:sz w:val="21"/>
      <w:szCs w:val="21"/>
      <w:lang w:bidi="ar-SA"/>
    </w:rPr>
  </w:style>
  <w:style w:type="character" w:customStyle="1" w:styleId="AlmindeligtekstTegn">
    <w:name w:val="Almindelig tekst Tegn"/>
    <w:basedOn w:val="Standardskrifttypeiafsnit"/>
    <w:link w:val="Almindeligtekst"/>
    <w:uiPriority w:val="99"/>
    <w:semiHidden/>
    <w:rsid w:val="00503B6A"/>
    <w:rPr>
      <w:rFonts w:ascii="Consolas" w:eastAsiaTheme="minorHAnsi" w:hAnsi="Consolas" w:cs="Consolas"/>
      <w:sz w:val="21"/>
      <w:szCs w:val="21"/>
      <w:lang w:val="da-DK" w:bidi="ar-SA"/>
    </w:rPr>
  </w:style>
  <w:style w:type="character" w:styleId="BesgtLink">
    <w:name w:val="FollowedHyperlink"/>
    <w:basedOn w:val="Standardskrifttypeiafsnit"/>
    <w:uiPriority w:val="99"/>
    <w:semiHidden/>
    <w:unhideWhenUsed/>
    <w:rsid w:val="009328C0"/>
    <w:rPr>
      <w:color w:val="800080" w:themeColor="followedHyperlink"/>
      <w:u w:val="single"/>
    </w:rPr>
  </w:style>
  <w:style w:type="paragraph" w:customStyle="1" w:styleId="AakSkabelonOverskrift">
    <w:name w:val="AakSkabelonOverskrift"/>
    <w:basedOn w:val="Normal"/>
    <w:rsid w:val="004756E2"/>
    <w:pPr>
      <w:spacing w:after="360"/>
      <w:contextualSpacing/>
    </w:pPr>
    <w:rPr>
      <w:b/>
      <w:sz w:val="28"/>
    </w:rPr>
  </w:style>
  <w:style w:type="paragraph" w:styleId="NormalWeb">
    <w:name w:val="Normal (Web)"/>
    <w:basedOn w:val="Normal"/>
    <w:uiPriority w:val="99"/>
    <w:unhideWhenUsed/>
    <w:rsid w:val="004756E2"/>
    <w:pPr>
      <w:spacing w:before="100" w:beforeAutospacing="1" w:after="100" w:afterAutospacing="1"/>
    </w:pPr>
    <w:rPr>
      <w:rFonts w:ascii="Times New Roman" w:eastAsia="Times New Roman" w:hAnsi="Times New Roman" w:cs="Times New Roman"/>
      <w:sz w:val="24"/>
      <w:szCs w:val="24"/>
      <w:lang w:eastAsia="da-DK" w:bidi="ar-SA"/>
    </w:rPr>
  </w:style>
  <w:style w:type="character" w:styleId="Kommentarhenvisning">
    <w:name w:val="annotation reference"/>
    <w:basedOn w:val="Standardskrifttypeiafsnit"/>
    <w:uiPriority w:val="99"/>
    <w:semiHidden/>
    <w:unhideWhenUsed/>
    <w:rsid w:val="008B206F"/>
    <w:rPr>
      <w:sz w:val="16"/>
      <w:szCs w:val="16"/>
    </w:rPr>
  </w:style>
  <w:style w:type="paragraph" w:styleId="Kommentartekst">
    <w:name w:val="annotation text"/>
    <w:basedOn w:val="Normal"/>
    <w:link w:val="KommentartekstTegn"/>
    <w:uiPriority w:val="99"/>
    <w:semiHidden/>
    <w:unhideWhenUsed/>
    <w:rsid w:val="008B206F"/>
    <w:rPr>
      <w:sz w:val="20"/>
      <w:szCs w:val="20"/>
    </w:rPr>
  </w:style>
  <w:style w:type="character" w:customStyle="1" w:styleId="KommentartekstTegn">
    <w:name w:val="Kommentartekst Tegn"/>
    <w:basedOn w:val="Standardskrifttypeiafsnit"/>
    <w:link w:val="Kommentartekst"/>
    <w:uiPriority w:val="99"/>
    <w:semiHidden/>
    <w:rsid w:val="008B206F"/>
    <w:rPr>
      <w:sz w:val="20"/>
      <w:szCs w:val="20"/>
      <w:lang w:val="da-DK"/>
    </w:rPr>
  </w:style>
  <w:style w:type="paragraph" w:styleId="Kommentaremne">
    <w:name w:val="annotation subject"/>
    <w:basedOn w:val="Kommentartekst"/>
    <w:next w:val="Kommentartekst"/>
    <w:link w:val="KommentaremneTegn"/>
    <w:uiPriority w:val="99"/>
    <w:semiHidden/>
    <w:unhideWhenUsed/>
    <w:rsid w:val="008B206F"/>
    <w:rPr>
      <w:b/>
      <w:bCs/>
    </w:rPr>
  </w:style>
  <w:style w:type="character" w:customStyle="1" w:styleId="KommentaremneTegn">
    <w:name w:val="Kommentaremne Tegn"/>
    <w:basedOn w:val="KommentartekstTegn"/>
    <w:link w:val="Kommentaremne"/>
    <w:uiPriority w:val="99"/>
    <w:semiHidden/>
    <w:rsid w:val="008B206F"/>
    <w:rPr>
      <w:b/>
      <w:bCs/>
      <w:sz w:val="20"/>
      <w:szCs w:val="20"/>
      <w:lang w:val="da-DK"/>
    </w:rPr>
  </w:style>
  <w:style w:type="character" w:customStyle="1" w:styleId="IngenafstandTegn">
    <w:name w:val="Ingen afstand Tegn"/>
    <w:basedOn w:val="Standardskrifttypeiafsnit"/>
    <w:link w:val="Ingenafstand"/>
    <w:uiPriority w:val="1"/>
    <w:rsid w:val="00D56003"/>
    <w:rPr>
      <w:lang w:val="da-DK"/>
    </w:rPr>
  </w:style>
  <w:style w:type="character" w:customStyle="1" w:styleId="ListeafsnitTegn">
    <w:name w:val="Listeafsnit Tegn"/>
    <w:link w:val="Listeafsnit"/>
    <w:uiPriority w:val="34"/>
    <w:locked/>
    <w:rsid w:val="00E673DB"/>
    <w:rPr>
      <w:lang w:val="da-DK"/>
    </w:rPr>
  </w:style>
  <w:style w:type="table" w:styleId="Gittertabel5-mrk-farve2">
    <w:name w:val="Grid Table 5 Dark Accent 2"/>
    <w:basedOn w:val="Tabel-Normal"/>
    <w:uiPriority w:val="50"/>
    <w:rsid w:val="00F506D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D9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497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497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497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497D" w:themeFill="accent2"/>
      </w:tcPr>
    </w:tblStylePr>
    <w:tblStylePr w:type="band1Vert">
      <w:tblPr/>
      <w:tcPr>
        <w:shd w:val="clear" w:color="auto" w:fill="8DB3E2" w:themeFill="accent2" w:themeFillTint="66"/>
      </w:tcPr>
    </w:tblStylePr>
    <w:tblStylePr w:type="band1Horz">
      <w:tblPr/>
      <w:tcPr>
        <w:shd w:val="clear" w:color="auto" w:fill="8DB3E2" w:themeFill="accent2" w:themeFillTint="66"/>
      </w:tcPr>
    </w:tblStylePr>
  </w:style>
  <w:style w:type="paragraph" w:styleId="Brdtekst">
    <w:name w:val="Body Text"/>
    <w:basedOn w:val="Normal"/>
    <w:link w:val="BrdtekstTegn"/>
    <w:uiPriority w:val="1"/>
    <w:semiHidden/>
    <w:unhideWhenUsed/>
    <w:qFormat/>
    <w:rsid w:val="00FE1387"/>
    <w:pPr>
      <w:widowControl w:val="0"/>
      <w:autoSpaceDE w:val="0"/>
      <w:autoSpaceDN w:val="0"/>
      <w:spacing w:after="0"/>
    </w:pPr>
    <w:rPr>
      <w:rFonts w:ascii="Arial" w:eastAsia="Arial" w:hAnsi="Arial" w:cs="Arial"/>
      <w:sz w:val="22"/>
      <w:szCs w:val="22"/>
      <w:lang w:val="en-US" w:bidi="ar-SA"/>
    </w:rPr>
  </w:style>
  <w:style w:type="character" w:customStyle="1" w:styleId="BrdtekstTegn">
    <w:name w:val="Brødtekst Tegn"/>
    <w:basedOn w:val="Standardskrifttypeiafsnit"/>
    <w:link w:val="Brdtekst"/>
    <w:uiPriority w:val="1"/>
    <w:semiHidden/>
    <w:rsid w:val="00FE1387"/>
    <w:rPr>
      <w:rFonts w:ascii="Arial" w:eastAsia="Arial" w:hAnsi="Arial" w:cs="Ari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62160">
      <w:bodyDiv w:val="1"/>
      <w:marLeft w:val="0"/>
      <w:marRight w:val="0"/>
      <w:marTop w:val="0"/>
      <w:marBottom w:val="0"/>
      <w:divBdr>
        <w:top w:val="none" w:sz="0" w:space="0" w:color="auto"/>
        <w:left w:val="none" w:sz="0" w:space="0" w:color="auto"/>
        <w:bottom w:val="none" w:sz="0" w:space="0" w:color="auto"/>
        <w:right w:val="none" w:sz="0" w:space="0" w:color="auto"/>
      </w:divBdr>
    </w:div>
    <w:div w:id="492768606">
      <w:bodyDiv w:val="1"/>
      <w:marLeft w:val="0"/>
      <w:marRight w:val="0"/>
      <w:marTop w:val="0"/>
      <w:marBottom w:val="0"/>
      <w:divBdr>
        <w:top w:val="none" w:sz="0" w:space="0" w:color="auto"/>
        <w:left w:val="none" w:sz="0" w:space="0" w:color="auto"/>
        <w:bottom w:val="none" w:sz="0" w:space="0" w:color="auto"/>
        <w:right w:val="none" w:sz="0" w:space="0" w:color="auto"/>
      </w:divBdr>
    </w:div>
    <w:div w:id="643900392">
      <w:bodyDiv w:val="1"/>
      <w:marLeft w:val="0"/>
      <w:marRight w:val="0"/>
      <w:marTop w:val="0"/>
      <w:marBottom w:val="0"/>
      <w:divBdr>
        <w:top w:val="none" w:sz="0" w:space="0" w:color="auto"/>
        <w:left w:val="none" w:sz="0" w:space="0" w:color="auto"/>
        <w:bottom w:val="none" w:sz="0" w:space="0" w:color="auto"/>
        <w:right w:val="none" w:sz="0" w:space="0" w:color="auto"/>
      </w:divBdr>
    </w:div>
    <w:div w:id="653073410">
      <w:bodyDiv w:val="1"/>
      <w:marLeft w:val="0"/>
      <w:marRight w:val="0"/>
      <w:marTop w:val="0"/>
      <w:marBottom w:val="0"/>
      <w:divBdr>
        <w:top w:val="none" w:sz="0" w:space="0" w:color="auto"/>
        <w:left w:val="none" w:sz="0" w:space="0" w:color="auto"/>
        <w:bottom w:val="none" w:sz="0" w:space="0" w:color="auto"/>
        <w:right w:val="none" w:sz="0" w:space="0" w:color="auto"/>
      </w:divBdr>
    </w:div>
    <w:div w:id="788549765">
      <w:bodyDiv w:val="1"/>
      <w:marLeft w:val="0"/>
      <w:marRight w:val="0"/>
      <w:marTop w:val="0"/>
      <w:marBottom w:val="0"/>
      <w:divBdr>
        <w:top w:val="none" w:sz="0" w:space="0" w:color="auto"/>
        <w:left w:val="none" w:sz="0" w:space="0" w:color="auto"/>
        <w:bottom w:val="none" w:sz="0" w:space="0" w:color="auto"/>
        <w:right w:val="none" w:sz="0" w:space="0" w:color="auto"/>
      </w:divBdr>
    </w:div>
    <w:div w:id="820578258">
      <w:bodyDiv w:val="1"/>
      <w:marLeft w:val="0"/>
      <w:marRight w:val="0"/>
      <w:marTop w:val="0"/>
      <w:marBottom w:val="0"/>
      <w:divBdr>
        <w:top w:val="none" w:sz="0" w:space="0" w:color="auto"/>
        <w:left w:val="none" w:sz="0" w:space="0" w:color="auto"/>
        <w:bottom w:val="none" w:sz="0" w:space="0" w:color="auto"/>
        <w:right w:val="none" w:sz="0" w:space="0" w:color="auto"/>
      </w:divBdr>
    </w:div>
    <w:div w:id="1148203707">
      <w:bodyDiv w:val="1"/>
      <w:marLeft w:val="0"/>
      <w:marRight w:val="0"/>
      <w:marTop w:val="0"/>
      <w:marBottom w:val="0"/>
      <w:divBdr>
        <w:top w:val="none" w:sz="0" w:space="0" w:color="auto"/>
        <w:left w:val="none" w:sz="0" w:space="0" w:color="auto"/>
        <w:bottom w:val="none" w:sz="0" w:space="0" w:color="auto"/>
        <w:right w:val="none" w:sz="0" w:space="0" w:color="auto"/>
      </w:divBdr>
    </w:div>
    <w:div w:id="1241715127">
      <w:bodyDiv w:val="1"/>
      <w:marLeft w:val="0"/>
      <w:marRight w:val="0"/>
      <w:marTop w:val="0"/>
      <w:marBottom w:val="0"/>
      <w:divBdr>
        <w:top w:val="none" w:sz="0" w:space="0" w:color="auto"/>
        <w:left w:val="none" w:sz="0" w:space="0" w:color="auto"/>
        <w:bottom w:val="none" w:sz="0" w:space="0" w:color="auto"/>
        <w:right w:val="none" w:sz="0" w:space="0" w:color="auto"/>
      </w:divBdr>
    </w:div>
    <w:div w:id="1261765469">
      <w:bodyDiv w:val="1"/>
      <w:marLeft w:val="0"/>
      <w:marRight w:val="0"/>
      <w:marTop w:val="0"/>
      <w:marBottom w:val="0"/>
      <w:divBdr>
        <w:top w:val="none" w:sz="0" w:space="0" w:color="auto"/>
        <w:left w:val="none" w:sz="0" w:space="0" w:color="auto"/>
        <w:bottom w:val="none" w:sz="0" w:space="0" w:color="auto"/>
        <w:right w:val="none" w:sz="0" w:space="0" w:color="auto"/>
      </w:divBdr>
    </w:div>
    <w:div w:id="1300110720">
      <w:bodyDiv w:val="1"/>
      <w:marLeft w:val="0"/>
      <w:marRight w:val="0"/>
      <w:marTop w:val="0"/>
      <w:marBottom w:val="0"/>
      <w:divBdr>
        <w:top w:val="none" w:sz="0" w:space="0" w:color="auto"/>
        <w:left w:val="none" w:sz="0" w:space="0" w:color="auto"/>
        <w:bottom w:val="none" w:sz="0" w:space="0" w:color="auto"/>
        <w:right w:val="none" w:sz="0" w:space="0" w:color="auto"/>
      </w:divBdr>
    </w:div>
    <w:div w:id="1493569122">
      <w:bodyDiv w:val="1"/>
      <w:marLeft w:val="0"/>
      <w:marRight w:val="0"/>
      <w:marTop w:val="0"/>
      <w:marBottom w:val="0"/>
      <w:divBdr>
        <w:top w:val="none" w:sz="0" w:space="0" w:color="auto"/>
        <w:left w:val="none" w:sz="0" w:space="0" w:color="auto"/>
        <w:bottom w:val="none" w:sz="0" w:space="0" w:color="auto"/>
        <w:right w:val="none" w:sz="0" w:space="0" w:color="auto"/>
      </w:divBdr>
      <w:divsChild>
        <w:div w:id="1480072396">
          <w:marLeft w:val="0"/>
          <w:marRight w:val="0"/>
          <w:marTop w:val="0"/>
          <w:marBottom w:val="0"/>
          <w:divBdr>
            <w:top w:val="none" w:sz="0" w:space="0" w:color="auto"/>
            <w:left w:val="none" w:sz="0" w:space="0" w:color="auto"/>
            <w:bottom w:val="none" w:sz="0" w:space="0" w:color="auto"/>
            <w:right w:val="none" w:sz="0" w:space="0" w:color="auto"/>
          </w:divBdr>
          <w:divsChild>
            <w:div w:id="1296329684">
              <w:marLeft w:val="0"/>
              <w:marRight w:val="0"/>
              <w:marTop w:val="0"/>
              <w:marBottom w:val="0"/>
              <w:divBdr>
                <w:top w:val="none" w:sz="0" w:space="0" w:color="auto"/>
                <w:left w:val="none" w:sz="0" w:space="0" w:color="auto"/>
                <w:bottom w:val="none" w:sz="0" w:space="0" w:color="auto"/>
                <w:right w:val="none" w:sz="0" w:space="0" w:color="auto"/>
              </w:divBdr>
              <w:divsChild>
                <w:div w:id="19956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3601">
      <w:bodyDiv w:val="1"/>
      <w:marLeft w:val="0"/>
      <w:marRight w:val="0"/>
      <w:marTop w:val="0"/>
      <w:marBottom w:val="0"/>
      <w:divBdr>
        <w:top w:val="none" w:sz="0" w:space="0" w:color="auto"/>
        <w:left w:val="none" w:sz="0" w:space="0" w:color="auto"/>
        <w:bottom w:val="none" w:sz="0" w:space="0" w:color="auto"/>
        <w:right w:val="none" w:sz="0" w:space="0" w:color="auto"/>
      </w:divBdr>
    </w:div>
    <w:div w:id="2072383449">
      <w:bodyDiv w:val="1"/>
      <w:marLeft w:val="0"/>
      <w:marRight w:val="0"/>
      <w:marTop w:val="0"/>
      <w:marBottom w:val="0"/>
      <w:divBdr>
        <w:top w:val="none" w:sz="0" w:space="0" w:color="auto"/>
        <w:left w:val="none" w:sz="0" w:space="0" w:color="auto"/>
        <w:bottom w:val="none" w:sz="0" w:space="0" w:color="auto"/>
        <w:right w:val="none" w:sz="0" w:space="0" w:color="auto"/>
      </w:divBdr>
    </w:div>
    <w:div w:id="21166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1hlbm\AppData\Local\Temp\eDoc%20Temporary%20Files\_WordTemplate\4974e057-213d-4655-807e-8eefabb069ca\07c13ec3-4130-4568-bb79-9ca94e701a56.DOTM" TargetMode="External"/></Relationships>
</file>

<file path=word/theme/theme1.xml><?xml version="1.0" encoding="utf-8"?>
<a:theme xmlns:a="http://schemas.openxmlformats.org/drawingml/2006/main" name="AakArial9">
  <a:themeElements>
    <a:clrScheme name="Brugerdefineret 1">
      <a:dk1>
        <a:sysClr val="windowText" lastClr="000000"/>
      </a:dk1>
      <a:lt1>
        <a:sysClr val="window" lastClr="FFFFFF"/>
      </a:lt1>
      <a:dk2>
        <a:srgbClr val="1F497D"/>
      </a:dk2>
      <a:lt2>
        <a:srgbClr val="EEECE1"/>
      </a:lt2>
      <a:accent1>
        <a:srgbClr val="4F81BD"/>
      </a:accent1>
      <a:accent2>
        <a:srgbClr val="1F497D"/>
      </a:accent2>
      <a:accent3>
        <a:srgbClr val="9BBB59"/>
      </a:accent3>
      <a:accent4>
        <a:srgbClr val="8064A2"/>
      </a:accent4>
      <a:accent5>
        <a:srgbClr val="4BACC6"/>
      </a:accent5>
      <a:accent6>
        <a:srgbClr val="F79646"/>
      </a:accent6>
      <a:hlink>
        <a:srgbClr val="0000FF"/>
      </a:hlink>
      <a:folHlink>
        <a:srgbClr val="800080"/>
      </a:folHlink>
    </a:clrScheme>
    <a:fontScheme name="AK 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AFC4F91922F24A853C276720272B9B" ma:contentTypeVersion="6" ma:contentTypeDescription="Opret et nyt dokument." ma:contentTypeScope="" ma:versionID="aeda7c3890ddb3b1b67cf2a0938101b4">
  <xsd:schema xmlns:xsd="http://www.w3.org/2001/XMLSchema" xmlns:xs="http://www.w3.org/2001/XMLSchema" xmlns:p="http://schemas.microsoft.com/office/2006/metadata/properties" xmlns:ns2="a4cb5116-4ce9-4163-adb8-0d00c273c797" xmlns:ns3="ab0321dd-6e57-4ce5-9b6e-2d9b7e75f33f" targetNamespace="http://schemas.microsoft.com/office/2006/metadata/properties" ma:root="true" ma:fieldsID="cf0480dbb17541727f1ba59464c9089b" ns2:_="" ns3:_="">
    <xsd:import namespace="a4cb5116-4ce9-4163-adb8-0d00c273c797"/>
    <xsd:import namespace="ab0321dd-6e57-4ce5-9b6e-2d9b7e75f3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b5116-4ce9-4163-adb8-0d00c273c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321dd-6e57-4ce5-9b6e-2d9b7e75f33f"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E2C47-4054-4B9D-8BF7-70FC628D94C6}">
  <ds:schemaRefs>
    <ds:schemaRef ds:uri="http://schemas.microsoft.com/sharepoint/v3/contenttype/forms"/>
  </ds:schemaRefs>
</ds:datastoreItem>
</file>

<file path=customXml/itemProps2.xml><?xml version="1.0" encoding="utf-8"?>
<ds:datastoreItem xmlns:ds="http://schemas.openxmlformats.org/officeDocument/2006/customXml" ds:itemID="{3B050AAB-1EA3-477F-87A2-D2F74B429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4D3B80-166F-4EC1-96E4-80D1B16E8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b5116-4ce9-4163-adb8-0d00c273c797"/>
    <ds:schemaRef ds:uri="ab0321dd-6e57-4ce5-9b6e-2d9b7e75f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0C214-3D4E-4F32-A58F-284D4F34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07c13ec3-4130-4568-bb79-9ca94e701a56</Template>
  <TotalTime>3</TotalTime>
  <Pages>3</Pages>
  <Words>868</Words>
  <Characters>5301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Nordjylland</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Boelt Møller</dc:creator>
  <cp:keywords/>
  <dc:description/>
  <cp:lastModifiedBy>Jens Teisen</cp:lastModifiedBy>
  <cp:revision>4</cp:revision>
  <cp:lastPrinted>2023-03-23T11:56:00Z</cp:lastPrinted>
  <dcterms:created xsi:type="dcterms:W3CDTF">2023-03-31T11:31:00Z</dcterms:created>
  <dcterms:modified xsi:type="dcterms:W3CDTF">2023-03-31T11:32:00Z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Social- og sundhedsvirksomhed i almindelighed;Organisering mv.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Journalperiode 2014-2017</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Thomas Gajhede Haugaard</vt:lpwstr>
  </property>
  <property fmtid="{D5CDD505-2E9C-101B-9397-08002B2CF9AE}" pid="12" name="eDocCaseCreatedDate">
    <vt:filetime>2014-01-01T22:00:00Z</vt:filetime>
  </property>
  <property fmtid="{D5CDD505-2E9C-101B-9397-08002B2CF9AE}" pid="13" name="eDocCaseOrganisation">
    <vt:lpwstr>Sekretariatet for rammeaftaler</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2014-185</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16.00.00</vt:lpwstr>
  </property>
  <property fmtid="{D5CDD505-2E9C-101B-9397-08002B2CF9AE}" pid="28" name="eDocCaseNeutralTitle">
    <vt:lpwstr>Den Administrative Styregruppe 2014-2018</vt:lpwstr>
  </property>
  <property fmtid="{D5CDD505-2E9C-101B-9397-08002B2CF9AE}" pid="29" name="eDocCaseAbstract">
    <vt:lpwstr>Den Administrative Styregruppe 2014-2018</vt:lpwstr>
  </property>
  <property fmtid="{D5CDD505-2E9C-101B-9397-08002B2CF9AE}" pid="30" name="eDocCaseCaseWorkerFullName">
    <vt:lpwstr>Thomas Gajhede Haugaard</vt:lpwstr>
  </property>
  <property fmtid="{D5CDD505-2E9C-101B-9397-08002B2CF9AE}" pid="31" name="eDocCaseTitle">
    <vt:lpwstr>Den Administrative Styregruppe 2014-2018</vt:lpwstr>
  </property>
  <property fmtid="{D5CDD505-2E9C-101B-9397-08002B2CF9AE}" pid="32" name="eDocDocumentLetterDate">
    <vt:filetime>2014-06-29T22:00:00Z</vt:filetime>
  </property>
  <property fmtid="{D5CDD505-2E9C-101B-9397-08002B2CF9AE}" pid="33" name="eDocDocumentLogicIdentifierPrefix">
    <vt:i4>2014</vt:i4>
  </property>
  <property fmtid="{D5CDD505-2E9C-101B-9397-08002B2CF9AE}" pid="34" name="eDocDocumentLogicIdentifierSuffix">
    <vt:i4>212509</vt:i4>
  </property>
  <property fmtid="{D5CDD505-2E9C-101B-9397-08002B2CF9AE}" pid="35" name="eDocDocumentCaseSerialNumber">
    <vt:i4>19</vt:i4>
  </property>
  <property fmtid="{D5CDD505-2E9C-101B-9397-08002B2CF9AE}" pid="36" name="eDocDocumentDocumentNumber">
    <vt:lpwstr>2014-212509</vt:lpwstr>
  </property>
  <property fmtid="{D5CDD505-2E9C-101B-9397-08002B2CF9AE}" pid="37" name="eDocDocumentDocumentType">
    <vt:lpwstr>Internt dokument - inkl. notat og mail</vt:lpwstr>
  </property>
  <property fmtid="{D5CDD505-2E9C-101B-9397-08002B2CF9AE}" pid="38" name="eDocDocumentPrimaryCodeName">
    <vt:lpwstr>Social- og sundhedsvirksomhed i almindelighed;Organisering mv.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Lone Boelt Møller</vt:lpwstr>
  </property>
  <property fmtid="{D5CDD505-2E9C-101B-9397-08002B2CF9AE}" pid="45" name="eDocDocumentCreatorLastName">
    <vt:lpwstr>Møller</vt:lpwstr>
  </property>
  <property fmtid="{D5CDD505-2E9C-101B-9397-08002B2CF9AE}" pid="46" name="eDocDocumentCreatorFirstName">
    <vt:lpwstr>Lone Boelt</vt:lpwstr>
  </property>
  <property fmtid="{D5CDD505-2E9C-101B-9397-08002B2CF9AE}" pid="47" name="eDocDocumentOrganisation">
    <vt:lpwstr>Sekretariatet for rammeaftaler</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Lone Boelt Møller</vt:lpwstr>
  </property>
  <property fmtid="{D5CDD505-2E9C-101B-9397-08002B2CF9AE}" pid="51" name="eDocDocumentCaseNumber">
    <vt:lpwstr>2014-185</vt:lpwstr>
  </property>
  <property fmtid="{D5CDD505-2E9C-101B-9397-08002B2CF9AE}" pid="52" name="eDocDocumentCheckCode01CodeName">
    <vt:lpwstr/>
  </property>
  <property fmtid="{D5CDD505-2E9C-101B-9397-08002B2CF9AE}" pid="53" name="eDocDocumentTemplate">
    <vt:lpwstr>SekrRammeaftalerDagsRef</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 til DAS den 12. august 2014</vt:lpwstr>
  </property>
  <property fmtid="{D5CDD505-2E9C-101B-9397-08002B2CF9AE}" pid="57" name="eDocCaseLogicIdentifierPrefix">
    <vt:i4>2014</vt:i4>
  </property>
  <property fmtid="{D5CDD505-2E9C-101B-9397-08002B2CF9AE}" pid="58" name="eDocCaseLogicIdentifierSuffix">
    <vt:i4>185</vt:i4>
  </property>
  <property fmtid="{D5CDD505-2E9C-101B-9397-08002B2CF9AE}" pid="59" name="eDocDocumentCreatedDate">
    <vt:filetime>2014-06-29T22:00:00Z</vt:filetime>
  </property>
  <property fmtid="{D5CDD505-2E9C-101B-9397-08002B2CF9AE}" pid="60" name="ContentRemapped">
    <vt:lpwstr>true</vt:lpwstr>
  </property>
  <property fmtid="{D5CDD505-2E9C-101B-9397-08002B2CF9AE}" pid="61" name="SD_DocumentLanguage">
    <vt:lpwstr>da-DK</vt:lpwstr>
  </property>
  <property fmtid="{D5CDD505-2E9C-101B-9397-08002B2CF9AE}" pid="62" name="ContentTypeId">
    <vt:lpwstr>0x0101009EAFC4F91922F24A853C276720272B9B</vt:lpwstr>
  </property>
</Properties>
</file>